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3" w:line="227" w:lineRule="auto"/>
        <w:ind w:left="55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pStyle w:val="2"/>
        <w:spacing w:before="257" w:line="21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36"/>
          <w:szCs w:val="36"/>
        </w:rPr>
        <w:t>会计人员继续教育专业科目重点学习内容</w:t>
      </w:r>
    </w:p>
    <w:p>
      <w:pPr>
        <w:spacing w:line="107" w:lineRule="exact"/>
      </w:pPr>
    </w:p>
    <w:tbl>
      <w:tblPr>
        <w:tblStyle w:val="6"/>
        <w:tblW w:w="151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340"/>
        <w:gridCol w:w="507"/>
        <w:gridCol w:w="2199"/>
        <w:gridCol w:w="3454"/>
        <w:gridCol w:w="70"/>
        <w:gridCol w:w="3554"/>
        <w:gridCol w:w="32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789" w:type="dxa"/>
            <w:gridSpan w:val="4"/>
            <w:shd w:val="clear" w:color="auto" w:fill="D7D7D7"/>
            <w:vAlign w:val="top"/>
          </w:tcPr>
          <w:p>
            <w:pPr>
              <w:pStyle w:val="7"/>
              <w:spacing w:before="115" w:line="217" w:lineRule="auto"/>
              <w:ind w:left="19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7"/>
              </w:rPr>
              <w:t>专业科目</w:t>
            </w:r>
          </w:p>
        </w:tc>
        <w:tc>
          <w:tcPr>
            <w:tcW w:w="3524" w:type="dxa"/>
            <w:gridSpan w:val="2"/>
            <w:vMerge w:val="restart"/>
            <w:tcBorders>
              <w:bottom w:val="nil"/>
            </w:tcBorders>
            <w:shd w:val="clear" w:color="auto" w:fill="D7D7D7"/>
            <w:vAlign w:val="top"/>
          </w:tcPr>
          <w:p>
            <w:pPr>
              <w:spacing w:line="3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16" w:lineRule="auto"/>
              <w:ind w:left="10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4"/>
              </w:rPr>
              <w:t>初级学习内容</w:t>
            </w:r>
          </w:p>
        </w:tc>
        <w:tc>
          <w:tcPr>
            <w:tcW w:w="3554" w:type="dxa"/>
            <w:vMerge w:val="restart"/>
            <w:tcBorders>
              <w:bottom w:val="nil"/>
            </w:tcBorders>
            <w:shd w:val="clear" w:color="auto" w:fill="D7D7D7"/>
            <w:vAlign w:val="top"/>
          </w:tcPr>
          <w:p>
            <w:pPr>
              <w:spacing w:line="3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14" w:lineRule="auto"/>
              <w:ind w:left="10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</w:rPr>
              <w:t>中级学习内容</w:t>
            </w:r>
          </w:p>
        </w:tc>
        <w:tc>
          <w:tcPr>
            <w:tcW w:w="3289" w:type="dxa"/>
            <w:vMerge w:val="restart"/>
            <w:tcBorders>
              <w:bottom w:val="nil"/>
            </w:tcBorders>
            <w:shd w:val="clear" w:color="auto" w:fill="D7D7D7"/>
            <w:vAlign w:val="top"/>
          </w:tcPr>
          <w:p>
            <w:pPr>
              <w:spacing w:line="34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14" w:lineRule="auto"/>
              <w:ind w:left="94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</w:rPr>
              <w:t>高级学习内容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3" w:type="dxa"/>
            <w:shd w:val="clear" w:color="auto" w:fill="D7D7D7"/>
            <w:vAlign w:val="top"/>
          </w:tcPr>
          <w:p>
            <w:pPr>
              <w:pStyle w:val="7"/>
              <w:spacing w:before="192" w:line="213" w:lineRule="auto"/>
              <w:ind w:left="1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4"/>
              </w:rPr>
              <w:t>类型</w:t>
            </w:r>
          </w:p>
        </w:tc>
        <w:tc>
          <w:tcPr>
            <w:tcW w:w="1340" w:type="dxa"/>
            <w:shd w:val="clear" w:color="auto" w:fill="D7D7D7"/>
            <w:vAlign w:val="top"/>
          </w:tcPr>
          <w:p>
            <w:pPr>
              <w:pStyle w:val="7"/>
              <w:spacing w:before="192" w:line="217" w:lineRule="auto"/>
              <w:ind w:left="43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7"/>
              </w:rPr>
              <w:t>科目</w:t>
            </w:r>
          </w:p>
        </w:tc>
        <w:tc>
          <w:tcPr>
            <w:tcW w:w="507" w:type="dxa"/>
            <w:shd w:val="clear" w:color="auto" w:fill="D7D7D7"/>
            <w:textDirection w:val="tbRlV"/>
            <w:vAlign w:val="top"/>
          </w:tcPr>
          <w:p>
            <w:pPr>
              <w:pStyle w:val="7"/>
              <w:spacing w:before="132" w:line="206" w:lineRule="auto"/>
              <w:ind w:left="3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4"/>
              </w:rPr>
              <w:t>序</w:t>
            </w:r>
            <w:r>
              <w:rPr>
                <w:rFonts w:hint="default" w:ascii="Times New Roman" w:hAnsi="Times New Roman" w:cs="Times New Roman"/>
                <w:spacing w:val="-47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</w:rPr>
              <w:t>号</w:t>
            </w:r>
          </w:p>
        </w:tc>
        <w:tc>
          <w:tcPr>
            <w:tcW w:w="2199" w:type="dxa"/>
            <w:shd w:val="clear" w:color="auto" w:fill="D7D7D7"/>
            <w:vAlign w:val="top"/>
          </w:tcPr>
          <w:p>
            <w:pPr>
              <w:pStyle w:val="7"/>
              <w:spacing w:before="192" w:line="217" w:lineRule="auto"/>
              <w:ind w:left="7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7"/>
              </w:rPr>
              <w:t>子科目</w:t>
            </w:r>
          </w:p>
        </w:tc>
        <w:tc>
          <w:tcPr>
            <w:tcW w:w="352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5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43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31" w:lineRule="auto"/>
              <w:ind w:left="141" w:right="128" w:firstLine="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1"/>
              </w:rPr>
              <w:t>专业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9"/>
              </w:rPr>
              <w:t>通识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9"/>
              </w:rPr>
              <w:t>知识</w:t>
            </w:r>
          </w:p>
        </w:tc>
        <w:tc>
          <w:tcPr>
            <w:tcW w:w="1340" w:type="dxa"/>
            <w:vAlign w:val="top"/>
          </w:tcPr>
          <w:p>
            <w:pPr>
              <w:pStyle w:val="7"/>
              <w:spacing w:before="73" w:line="228" w:lineRule="auto"/>
              <w:ind w:left="437" w:right="186" w:hanging="23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</w:rPr>
              <w:t>会计职业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9"/>
              </w:rPr>
              <w:t>道德</w:t>
            </w:r>
          </w:p>
        </w:tc>
        <w:tc>
          <w:tcPr>
            <w:tcW w:w="507" w:type="dxa"/>
            <w:vAlign w:val="top"/>
          </w:tcPr>
          <w:p>
            <w:pPr>
              <w:pStyle w:val="7"/>
              <w:spacing w:before="259" w:line="188" w:lineRule="auto"/>
              <w:ind w:left="2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199" w:type="dxa"/>
            <w:vAlign w:val="top"/>
          </w:tcPr>
          <w:p>
            <w:pPr>
              <w:pStyle w:val="7"/>
              <w:spacing w:before="72" w:line="227" w:lineRule="auto"/>
              <w:ind w:left="107" w:right="104" w:firstLine="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会计职业道德与诚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信体系建设</w:t>
            </w:r>
          </w:p>
        </w:tc>
        <w:tc>
          <w:tcPr>
            <w:tcW w:w="10367" w:type="dxa"/>
            <w:gridSpan w:val="4"/>
            <w:vAlign w:val="top"/>
          </w:tcPr>
          <w:p>
            <w:pPr>
              <w:pStyle w:val="7"/>
              <w:spacing w:before="72" w:line="227" w:lineRule="auto"/>
              <w:ind w:left="119" w:right="108" w:firstLine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商业伦理与会计职业道德、信用建设与会计诚信，严重会计失信行为、财务造假与会计舞弊典型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案例分析等。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pStyle w:val="7"/>
              <w:spacing w:before="242" w:line="216" w:lineRule="auto"/>
              <w:ind w:left="19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</w:rPr>
              <w:t>会计法治</w:t>
            </w:r>
          </w:p>
        </w:tc>
        <w:tc>
          <w:tcPr>
            <w:tcW w:w="507" w:type="dxa"/>
            <w:vAlign w:val="top"/>
          </w:tcPr>
          <w:p>
            <w:pPr>
              <w:pStyle w:val="7"/>
              <w:spacing w:before="272" w:line="188" w:lineRule="auto"/>
              <w:ind w:left="20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2199" w:type="dxa"/>
            <w:vAlign w:val="top"/>
          </w:tcPr>
          <w:p>
            <w:pPr>
              <w:pStyle w:val="7"/>
              <w:spacing w:before="242" w:line="216" w:lineRule="auto"/>
              <w:ind w:left="1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会计法律法规制度</w:t>
            </w:r>
          </w:p>
        </w:tc>
        <w:tc>
          <w:tcPr>
            <w:tcW w:w="10367" w:type="dxa"/>
            <w:gridSpan w:val="4"/>
            <w:vAlign w:val="top"/>
          </w:tcPr>
          <w:p>
            <w:pPr>
              <w:pStyle w:val="7"/>
              <w:spacing w:before="85" w:line="226" w:lineRule="auto"/>
              <w:ind w:left="118" w:right="108" w:hanging="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会计法、注册会计师法、总会计师条例、企业财务会计报告条例等会计法律法规，有关会计基础</w:t>
            </w:r>
            <w:r>
              <w:rPr>
                <w:rFonts w:hint="default" w:ascii="Times New Roman" w:hAnsi="Times New Roman" w:cs="Times New Roman"/>
                <w:spacing w:val="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工作、会计人员管理、会计服务市场监管、财会监督等部门规章、制度文件。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0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28" w:lineRule="auto"/>
              <w:ind w:left="327" w:right="186" w:hanging="1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</w:rPr>
              <w:t>会计改革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10"/>
              </w:rPr>
              <w:t>与发展</w:t>
            </w:r>
          </w:p>
        </w:tc>
        <w:tc>
          <w:tcPr>
            <w:tcW w:w="507" w:type="dxa"/>
            <w:vAlign w:val="top"/>
          </w:tcPr>
          <w:p>
            <w:pPr>
              <w:pStyle w:val="7"/>
              <w:spacing w:before="288" w:line="188" w:lineRule="auto"/>
              <w:ind w:left="2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2199" w:type="dxa"/>
            <w:vAlign w:val="top"/>
          </w:tcPr>
          <w:p>
            <w:pPr>
              <w:pStyle w:val="7"/>
              <w:spacing w:before="101" w:line="226" w:lineRule="auto"/>
              <w:ind w:left="119" w:right="104" w:hanging="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新时代我国会计改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革与发展</w:t>
            </w:r>
          </w:p>
        </w:tc>
        <w:tc>
          <w:tcPr>
            <w:tcW w:w="10367" w:type="dxa"/>
            <w:gridSpan w:val="4"/>
            <w:vAlign w:val="top"/>
          </w:tcPr>
          <w:p>
            <w:pPr>
              <w:pStyle w:val="7"/>
              <w:spacing w:before="101" w:line="226" w:lineRule="auto"/>
              <w:ind w:left="123" w:right="105" w:hanging="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会计改革与发展“十四五”规划纲要及系列解读，会计信息化发展规划（2021-2025</w:t>
            </w:r>
            <w:r>
              <w:rPr>
                <w:rFonts w:hint="default" w:ascii="Times New Roman" w:hAnsi="Times New Roman" w:cs="Times New Roman"/>
                <w:spacing w:val="-4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年）、会计行</w:t>
            </w:r>
            <w:r>
              <w:rPr>
                <w:rFonts w:hint="default" w:ascii="Times New Roman" w:hAnsi="Times New Roman" w:cs="Times New Roman"/>
              </w:rPr>
              <w:t xml:space="preserve"> 业人才发展规划（2021-2025）、注册会</w:t>
            </w:r>
            <w:r>
              <w:rPr>
                <w:rFonts w:hint="default" w:ascii="Times New Roman" w:hAnsi="Times New Roman" w:cs="Times New Roman"/>
                <w:spacing w:val="-1"/>
              </w:rPr>
              <w:t>计师行业发展规划（2021-2025）等。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07" w:type="dxa"/>
            <w:vAlign w:val="top"/>
          </w:tcPr>
          <w:p>
            <w:pPr>
              <w:pStyle w:val="7"/>
              <w:spacing w:before="225" w:line="188" w:lineRule="auto"/>
              <w:ind w:left="20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2199" w:type="dxa"/>
            <w:vAlign w:val="top"/>
          </w:tcPr>
          <w:p>
            <w:pPr>
              <w:pStyle w:val="7"/>
              <w:spacing w:before="39" w:line="222" w:lineRule="auto"/>
              <w:ind w:left="119" w:right="104" w:hanging="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新中国会计发展沿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革</w:t>
            </w:r>
          </w:p>
        </w:tc>
        <w:tc>
          <w:tcPr>
            <w:tcW w:w="10367" w:type="dxa"/>
            <w:gridSpan w:val="4"/>
            <w:vAlign w:val="top"/>
          </w:tcPr>
          <w:p>
            <w:pPr>
              <w:pStyle w:val="7"/>
              <w:spacing w:before="194" w:line="214" w:lineRule="auto"/>
              <w:ind w:left="1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会计史，我国会计准则制度演进与经验启示等。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43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31" w:lineRule="auto"/>
              <w:ind w:left="138" w:right="128" w:firstLine="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1"/>
              </w:rPr>
              <w:t>专业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7"/>
              </w:rPr>
              <w:t>核心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7"/>
              </w:rPr>
              <w:t>知识</w:t>
            </w:r>
          </w:p>
        </w:tc>
        <w:tc>
          <w:tcPr>
            <w:tcW w:w="1340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27" w:lineRule="auto"/>
              <w:ind w:left="438" w:right="186" w:hanging="24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5"/>
              </w:rPr>
              <w:t>企业财务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10"/>
              </w:rPr>
              <w:t>会计</w:t>
            </w:r>
          </w:p>
        </w:tc>
        <w:tc>
          <w:tcPr>
            <w:tcW w:w="507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185" w:lineRule="auto"/>
              <w:ind w:left="21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2199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15" w:lineRule="auto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企业会计准则</w:t>
            </w:r>
          </w:p>
        </w:tc>
        <w:tc>
          <w:tcPr>
            <w:tcW w:w="10367" w:type="dxa"/>
            <w:gridSpan w:val="4"/>
            <w:vAlign w:val="top"/>
          </w:tcPr>
          <w:p>
            <w:pPr>
              <w:pStyle w:val="7"/>
              <w:spacing w:before="135" w:line="214" w:lineRule="auto"/>
              <w:ind w:left="1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我国企业会计准则体系概况，当年新制定修订或实施的企业会计准则。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524" w:type="dxa"/>
            <w:gridSpan w:val="2"/>
            <w:vAlign w:val="top"/>
          </w:tcPr>
          <w:p>
            <w:pPr>
              <w:pStyle w:val="7"/>
              <w:spacing w:before="135" w:line="231" w:lineRule="auto"/>
              <w:ind w:left="113" w:right="104" w:firstLine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企业会计准则基本准则，企业常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见业务的会计处理；企业产品成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本核算。</w:t>
            </w:r>
          </w:p>
        </w:tc>
        <w:tc>
          <w:tcPr>
            <w:tcW w:w="3554" w:type="dxa"/>
            <w:vAlign w:val="top"/>
          </w:tcPr>
          <w:p>
            <w:pPr>
              <w:pStyle w:val="7"/>
              <w:spacing w:before="293" w:line="227" w:lineRule="auto"/>
              <w:ind w:left="111" w:right="104" w:firstLine="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企业会计准则具体准则、准则解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释及会计处理规定的应用。</w:t>
            </w:r>
          </w:p>
        </w:tc>
        <w:tc>
          <w:tcPr>
            <w:tcW w:w="3289" w:type="dxa"/>
            <w:vAlign w:val="top"/>
          </w:tcPr>
          <w:p>
            <w:pPr>
              <w:pStyle w:val="7"/>
              <w:spacing w:before="138" w:line="231" w:lineRule="auto"/>
              <w:ind w:left="127" w:right="107" w:hanging="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具体企业会计政策的分析、判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断及企业会计准则具体准则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的综合运用。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07" w:type="dxa"/>
            <w:vAlign w:val="top"/>
          </w:tcPr>
          <w:p>
            <w:pPr>
              <w:pStyle w:val="7"/>
              <w:spacing w:before="194" w:line="188" w:lineRule="auto"/>
              <w:ind w:left="2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2199" w:type="dxa"/>
            <w:vAlign w:val="top"/>
          </w:tcPr>
          <w:p>
            <w:pPr>
              <w:pStyle w:val="7"/>
              <w:spacing w:before="163" w:line="215" w:lineRule="auto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小企业会计准则</w:t>
            </w:r>
          </w:p>
        </w:tc>
        <w:tc>
          <w:tcPr>
            <w:tcW w:w="7078" w:type="dxa"/>
            <w:gridSpan w:val="3"/>
            <w:vAlign w:val="top"/>
          </w:tcPr>
          <w:p>
            <w:pPr>
              <w:pStyle w:val="7"/>
              <w:spacing w:before="163" w:line="214" w:lineRule="auto"/>
              <w:ind w:left="1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小企业常见业务的会计处理。</w:t>
            </w:r>
          </w:p>
        </w:tc>
        <w:tc>
          <w:tcPr>
            <w:tcW w:w="328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0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14" w:lineRule="auto"/>
              <w:ind w:left="19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</w:rPr>
              <w:t>政府及非</w:t>
            </w:r>
          </w:p>
          <w:p>
            <w:pPr>
              <w:pStyle w:val="7"/>
              <w:spacing w:before="34" w:line="217" w:lineRule="auto"/>
              <w:ind w:left="2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9"/>
              </w:rPr>
              <w:t>营利组织</w:t>
            </w:r>
          </w:p>
          <w:p>
            <w:pPr>
              <w:pStyle w:val="7"/>
              <w:spacing w:before="26" w:line="216" w:lineRule="auto"/>
              <w:ind w:left="43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0"/>
              </w:rPr>
              <w:t>会计</w:t>
            </w:r>
          </w:p>
        </w:tc>
        <w:tc>
          <w:tcPr>
            <w:tcW w:w="507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185" w:lineRule="auto"/>
              <w:ind w:left="2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2199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14" w:lineRule="auto"/>
              <w:ind w:left="11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政府会计准则制度</w:t>
            </w:r>
          </w:p>
        </w:tc>
        <w:tc>
          <w:tcPr>
            <w:tcW w:w="10367" w:type="dxa"/>
            <w:gridSpan w:val="4"/>
            <w:vAlign w:val="top"/>
          </w:tcPr>
          <w:p>
            <w:pPr>
              <w:pStyle w:val="7"/>
              <w:spacing w:before="161" w:line="214" w:lineRule="auto"/>
              <w:ind w:left="1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我国政府会计准则制度体系概况，当年新制定修订或实施的政府会计准则制度。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454" w:type="dxa"/>
            <w:vMerge w:val="restart"/>
            <w:tcBorders>
              <w:bottom w:val="nil"/>
            </w:tcBorders>
            <w:vAlign w:val="top"/>
          </w:tcPr>
          <w:p>
            <w:pPr>
              <w:spacing w:line="3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34" w:lineRule="auto"/>
              <w:ind w:left="116" w:right="104" w:firstLine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8"/>
              </w:rPr>
              <w:t>政府会计准则基本准则，行政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8"/>
              </w:rPr>
              <w:t>事业单位常见业务的会计处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8"/>
              </w:rPr>
              <w:t>理；事业单位成本核算基本指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引。</w:t>
            </w:r>
          </w:p>
        </w:tc>
        <w:tc>
          <w:tcPr>
            <w:tcW w:w="3624" w:type="dxa"/>
            <w:gridSpan w:val="2"/>
            <w:vAlign w:val="top"/>
          </w:tcPr>
          <w:p>
            <w:pPr>
              <w:pStyle w:val="7"/>
              <w:spacing w:before="43" w:line="230" w:lineRule="auto"/>
              <w:ind w:left="118" w:right="102" w:firstLine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政府会计准则具体准则、政府会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计制度、准则制度解释及会计处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</w:rPr>
              <w:t>理规定的应用，事业单位成本核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算具体指引。</w:t>
            </w:r>
          </w:p>
        </w:tc>
        <w:tc>
          <w:tcPr>
            <w:tcW w:w="3289" w:type="dxa"/>
            <w:vAlign w:val="top"/>
          </w:tcPr>
          <w:p>
            <w:pPr>
              <w:spacing w:line="27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28" w:lineRule="auto"/>
              <w:ind w:left="115" w:right="107" w:firstLine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政府会计准则制度的综合运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7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4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913" w:type="dxa"/>
            <w:gridSpan w:val="3"/>
            <w:vAlign w:val="top"/>
          </w:tcPr>
          <w:p>
            <w:pPr>
              <w:pStyle w:val="7"/>
              <w:spacing w:before="138" w:line="229" w:lineRule="auto"/>
              <w:ind w:left="115" w:right="107" w:firstLine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政府综合财务报告编制、部门预决算编制、行政事业单位预算执</w:t>
            </w:r>
            <w:r>
              <w:rPr>
                <w:rFonts w:hint="default" w:ascii="Times New Roman" w:hAnsi="Times New Roman" w:cs="Times New Roman"/>
                <w:spacing w:val="1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行分析。</w:t>
            </w:r>
          </w:p>
        </w:tc>
      </w:tr>
    </w:tbl>
    <w:p>
      <w:pPr>
        <w:spacing w:line="58" w:lineRule="exact"/>
        <w:rPr>
          <w:rFonts w:ascii="Arial"/>
          <w:sz w:val="5"/>
        </w:rPr>
      </w:pPr>
    </w:p>
    <w:p>
      <w:pPr>
        <w:spacing w:line="58" w:lineRule="exact"/>
        <w:rPr>
          <w:rFonts w:ascii="Arial" w:hAnsi="Arial" w:eastAsia="Arial" w:cs="Arial"/>
          <w:sz w:val="5"/>
          <w:szCs w:val="5"/>
        </w:rPr>
        <w:sectPr>
          <w:footerReference r:id="rId5" w:type="default"/>
          <w:pgSz w:w="16839" w:h="11906" w:orient="landscape"/>
          <w:pgMar w:top="720" w:right="720" w:bottom="720" w:left="720" w:header="0" w:footer="725" w:gutter="0"/>
          <w:cols w:space="720" w:num="1"/>
        </w:sectPr>
      </w:pPr>
    </w:p>
    <w:p>
      <w:pPr>
        <w:spacing w:line="156" w:lineRule="exact"/>
      </w:pPr>
    </w:p>
    <w:tbl>
      <w:tblPr>
        <w:tblStyle w:val="6"/>
        <w:tblW w:w="151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340"/>
        <w:gridCol w:w="507"/>
        <w:gridCol w:w="2199"/>
        <w:gridCol w:w="3524"/>
        <w:gridCol w:w="3554"/>
        <w:gridCol w:w="32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789" w:type="dxa"/>
            <w:gridSpan w:val="4"/>
            <w:shd w:val="clear" w:color="auto" w:fill="D7D7D7"/>
            <w:vAlign w:val="top"/>
          </w:tcPr>
          <w:p>
            <w:pPr>
              <w:pStyle w:val="7"/>
              <w:spacing w:before="114" w:line="217" w:lineRule="auto"/>
              <w:ind w:left="19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7"/>
              </w:rPr>
              <w:t>专业科目</w:t>
            </w:r>
          </w:p>
        </w:tc>
        <w:tc>
          <w:tcPr>
            <w:tcW w:w="3524" w:type="dxa"/>
            <w:vMerge w:val="restart"/>
            <w:tcBorders>
              <w:bottom w:val="nil"/>
            </w:tcBorders>
            <w:shd w:val="clear" w:color="auto" w:fill="D7D7D7"/>
            <w:vAlign w:val="top"/>
          </w:tcPr>
          <w:p>
            <w:pPr>
              <w:spacing w:line="3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16" w:lineRule="auto"/>
              <w:ind w:left="10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4"/>
              </w:rPr>
              <w:t>初级学习内容</w:t>
            </w:r>
          </w:p>
        </w:tc>
        <w:tc>
          <w:tcPr>
            <w:tcW w:w="3554" w:type="dxa"/>
            <w:vMerge w:val="restart"/>
            <w:tcBorders>
              <w:bottom w:val="nil"/>
            </w:tcBorders>
            <w:shd w:val="clear" w:color="auto" w:fill="D7D7D7"/>
            <w:vAlign w:val="top"/>
          </w:tcPr>
          <w:p>
            <w:pPr>
              <w:spacing w:line="3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14" w:lineRule="auto"/>
              <w:ind w:left="10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</w:rPr>
              <w:t>中级学习内容</w:t>
            </w:r>
          </w:p>
        </w:tc>
        <w:tc>
          <w:tcPr>
            <w:tcW w:w="3289" w:type="dxa"/>
            <w:vMerge w:val="restart"/>
            <w:tcBorders>
              <w:bottom w:val="nil"/>
            </w:tcBorders>
            <w:shd w:val="clear" w:color="auto" w:fill="D7D7D7"/>
            <w:vAlign w:val="top"/>
          </w:tcPr>
          <w:p>
            <w:pPr>
              <w:spacing w:line="3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14" w:lineRule="auto"/>
              <w:ind w:left="94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</w:rPr>
              <w:t>高级学习内容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3" w:type="dxa"/>
            <w:shd w:val="clear" w:color="auto" w:fill="D7D7D7"/>
            <w:vAlign w:val="top"/>
          </w:tcPr>
          <w:p>
            <w:pPr>
              <w:pStyle w:val="7"/>
              <w:spacing w:before="193" w:line="213" w:lineRule="auto"/>
              <w:ind w:left="1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4"/>
              </w:rPr>
              <w:t>类型</w:t>
            </w:r>
          </w:p>
        </w:tc>
        <w:tc>
          <w:tcPr>
            <w:tcW w:w="1340" w:type="dxa"/>
            <w:shd w:val="clear" w:color="auto" w:fill="D7D7D7"/>
            <w:vAlign w:val="top"/>
          </w:tcPr>
          <w:p>
            <w:pPr>
              <w:pStyle w:val="7"/>
              <w:spacing w:before="193" w:line="217" w:lineRule="auto"/>
              <w:ind w:left="43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7"/>
              </w:rPr>
              <w:t>科目</w:t>
            </w:r>
          </w:p>
        </w:tc>
        <w:tc>
          <w:tcPr>
            <w:tcW w:w="507" w:type="dxa"/>
            <w:shd w:val="clear" w:color="auto" w:fill="D7D7D7"/>
            <w:textDirection w:val="tbRlV"/>
            <w:vAlign w:val="top"/>
          </w:tcPr>
          <w:p>
            <w:pPr>
              <w:pStyle w:val="7"/>
              <w:spacing w:before="132" w:line="206" w:lineRule="auto"/>
              <w:ind w:left="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4"/>
              </w:rPr>
              <w:t>序</w:t>
            </w:r>
            <w:r>
              <w:rPr>
                <w:rFonts w:hint="default" w:ascii="Times New Roman" w:hAnsi="Times New Roman" w:cs="Times New Roman"/>
                <w:spacing w:val="-47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</w:rPr>
              <w:t>号</w:t>
            </w:r>
          </w:p>
        </w:tc>
        <w:tc>
          <w:tcPr>
            <w:tcW w:w="2199" w:type="dxa"/>
            <w:shd w:val="clear" w:color="auto" w:fill="D7D7D7"/>
            <w:vAlign w:val="top"/>
          </w:tcPr>
          <w:p>
            <w:pPr>
              <w:pStyle w:val="7"/>
              <w:spacing w:before="193" w:line="217" w:lineRule="auto"/>
              <w:ind w:left="7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7"/>
              </w:rPr>
              <w:t>子科目</w:t>
            </w:r>
          </w:p>
        </w:tc>
        <w:tc>
          <w:tcPr>
            <w:tcW w:w="35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5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43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31" w:lineRule="auto"/>
              <w:ind w:left="138" w:right="128" w:firstLine="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1"/>
              </w:rPr>
              <w:t>专业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7"/>
              </w:rPr>
              <w:t>核心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7"/>
              </w:rPr>
              <w:t>知识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07" w:type="dxa"/>
            <w:vAlign w:val="top"/>
          </w:tcPr>
          <w:p>
            <w:pPr>
              <w:pStyle w:val="7"/>
              <w:spacing w:before="287" w:line="188" w:lineRule="auto"/>
              <w:ind w:left="2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2199" w:type="dxa"/>
            <w:vAlign w:val="top"/>
          </w:tcPr>
          <w:p>
            <w:pPr>
              <w:pStyle w:val="7"/>
              <w:spacing w:before="104" w:line="225" w:lineRule="auto"/>
              <w:ind w:left="126" w:right="10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非营利组织及基金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类会计制度</w:t>
            </w:r>
          </w:p>
        </w:tc>
        <w:tc>
          <w:tcPr>
            <w:tcW w:w="10367" w:type="dxa"/>
            <w:gridSpan w:val="3"/>
            <w:vAlign w:val="top"/>
          </w:tcPr>
          <w:p>
            <w:pPr>
              <w:pStyle w:val="7"/>
              <w:spacing w:before="256" w:line="214" w:lineRule="auto"/>
              <w:ind w:left="14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民间非营利组织的会计核算、工会的会计核算、社会保险基金等基金（资金）的会</w:t>
            </w:r>
            <w:r>
              <w:rPr>
                <w:rFonts w:hint="default" w:ascii="Times New Roman" w:hAnsi="Times New Roman" w:cs="Times New Roman"/>
                <w:spacing w:val="-2"/>
              </w:rPr>
              <w:t>计核算。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pStyle w:val="7"/>
              <w:spacing w:before="221" w:line="214" w:lineRule="auto"/>
              <w:ind w:left="1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5"/>
              </w:rPr>
              <w:t>农村会计</w:t>
            </w:r>
          </w:p>
        </w:tc>
        <w:tc>
          <w:tcPr>
            <w:tcW w:w="507" w:type="dxa"/>
            <w:vAlign w:val="top"/>
          </w:tcPr>
          <w:p>
            <w:pPr>
              <w:pStyle w:val="7"/>
              <w:spacing w:before="252" w:line="188" w:lineRule="auto"/>
              <w:ind w:left="2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2199" w:type="dxa"/>
            <w:vAlign w:val="top"/>
          </w:tcPr>
          <w:p>
            <w:pPr>
              <w:pStyle w:val="7"/>
              <w:spacing w:before="221" w:line="214" w:lineRule="auto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农村会计制度</w:t>
            </w:r>
          </w:p>
        </w:tc>
        <w:tc>
          <w:tcPr>
            <w:tcW w:w="10367" w:type="dxa"/>
            <w:gridSpan w:val="3"/>
            <w:vAlign w:val="top"/>
          </w:tcPr>
          <w:p>
            <w:pPr>
              <w:pStyle w:val="7"/>
              <w:spacing w:before="221" w:line="214" w:lineRule="auto"/>
              <w:ind w:left="1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农民专业合作社的会计核算、农村集体经济组织的会计核算。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0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14" w:lineRule="auto"/>
              <w:ind w:left="19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5"/>
              </w:rPr>
              <w:t>管理会计</w:t>
            </w:r>
          </w:p>
        </w:tc>
        <w:tc>
          <w:tcPr>
            <w:tcW w:w="507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188" w:lineRule="auto"/>
              <w:ind w:left="1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3"/>
              </w:rPr>
              <w:t>10</w:t>
            </w:r>
          </w:p>
        </w:tc>
        <w:tc>
          <w:tcPr>
            <w:tcW w:w="2199" w:type="dxa"/>
            <w:vMerge w:val="restart"/>
            <w:tcBorders>
              <w:bottom w:val="nil"/>
            </w:tcBorders>
            <w:vAlign w:val="top"/>
          </w:tcPr>
          <w:p>
            <w:pPr>
              <w:spacing w:line="44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29" w:lineRule="auto"/>
              <w:ind w:left="114" w:right="10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管理会计理论与应</w:t>
            </w:r>
            <w:r>
              <w:rPr>
                <w:rFonts w:hint="default" w:ascii="Times New Roman" w:hAnsi="Times New Roman" w:cs="Times New Roman"/>
                <w:spacing w:val="5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用</w:t>
            </w:r>
          </w:p>
        </w:tc>
        <w:tc>
          <w:tcPr>
            <w:tcW w:w="10367" w:type="dxa"/>
            <w:gridSpan w:val="3"/>
            <w:vAlign w:val="top"/>
          </w:tcPr>
          <w:p>
            <w:pPr>
              <w:pStyle w:val="7"/>
              <w:spacing w:before="210" w:line="214" w:lineRule="auto"/>
              <w:ind w:left="1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我国管理会计体系概况，业财融合实践，当年新制定修订或实施的管理会计指引。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524" w:type="dxa"/>
            <w:vAlign w:val="top"/>
          </w:tcPr>
          <w:p>
            <w:pPr>
              <w:pStyle w:val="7"/>
              <w:spacing w:before="188" w:line="226" w:lineRule="auto"/>
              <w:ind w:left="135" w:right="104" w:hanging="2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管理会计基本指引，管理会计指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"/>
              </w:rPr>
              <w:t>引体系概况。</w:t>
            </w:r>
          </w:p>
        </w:tc>
        <w:tc>
          <w:tcPr>
            <w:tcW w:w="3554" w:type="dxa"/>
            <w:vAlign w:val="top"/>
          </w:tcPr>
          <w:p>
            <w:pPr>
              <w:pStyle w:val="7"/>
              <w:spacing w:before="189" w:line="226" w:lineRule="auto"/>
              <w:ind w:left="125" w:right="104" w:hanging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管理会计应用指引，管理会计典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型案例分析。</w:t>
            </w:r>
          </w:p>
        </w:tc>
        <w:tc>
          <w:tcPr>
            <w:tcW w:w="3289" w:type="dxa"/>
            <w:vAlign w:val="top"/>
          </w:tcPr>
          <w:p>
            <w:pPr>
              <w:pStyle w:val="7"/>
              <w:spacing w:before="189" w:line="227" w:lineRule="auto"/>
              <w:ind w:left="116" w:right="10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4"/>
              </w:rPr>
              <w:t>管理会计工具与方法的综合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运用。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0" w:type="dxa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5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16" w:lineRule="auto"/>
              <w:ind w:left="2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3"/>
              </w:rPr>
              <w:t>内部控制</w:t>
            </w:r>
          </w:p>
        </w:tc>
        <w:tc>
          <w:tcPr>
            <w:tcW w:w="507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188" w:lineRule="auto"/>
              <w:ind w:left="1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3"/>
              </w:rPr>
              <w:t>11</w:t>
            </w:r>
          </w:p>
        </w:tc>
        <w:tc>
          <w:tcPr>
            <w:tcW w:w="2199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29" w:lineRule="auto"/>
              <w:ind w:left="114" w:right="104" w:firstLine="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内部控制理论与应</w:t>
            </w:r>
            <w:r>
              <w:rPr>
                <w:rFonts w:hint="default" w:ascii="Times New Roman" w:hAnsi="Times New Roman" w:cs="Times New Roman"/>
                <w:spacing w:val="4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用</w:t>
            </w:r>
          </w:p>
        </w:tc>
        <w:tc>
          <w:tcPr>
            <w:tcW w:w="10367" w:type="dxa"/>
            <w:gridSpan w:val="3"/>
            <w:vAlign w:val="top"/>
          </w:tcPr>
          <w:p>
            <w:pPr>
              <w:pStyle w:val="7"/>
              <w:spacing w:before="222" w:line="214" w:lineRule="auto"/>
              <w:ind w:left="1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我国内部控制体系概况，当年新制定修订或实施的内部控制有关制度。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524" w:type="dxa"/>
            <w:vAlign w:val="top"/>
          </w:tcPr>
          <w:p>
            <w:pPr>
              <w:pStyle w:val="7"/>
              <w:spacing w:before="130" w:line="232" w:lineRule="auto"/>
              <w:ind w:left="113" w:right="104" w:firstLine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企业内部控制基本规范，小企业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内部控制规范；行政事业单位内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部控制基础知识。</w:t>
            </w:r>
          </w:p>
        </w:tc>
        <w:tc>
          <w:tcPr>
            <w:tcW w:w="3554" w:type="dxa"/>
            <w:vAlign w:val="top"/>
          </w:tcPr>
          <w:p>
            <w:pPr>
              <w:pStyle w:val="7"/>
              <w:spacing w:before="132" w:line="231" w:lineRule="auto"/>
              <w:ind w:left="128" w:right="104" w:hanging="1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企业内部控制应用指引、评价指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</w:rPr>
              <w:t>引；行政事业单位内部控制规范</w:t>
            </w:r>
            <w:r>
              <w:rPr>
                <w:rFonts w:hint="default" w:ascii="Times New Roman" w:hAnsi="Times New Roman" w:cs="Times New Roman"/>
                <w:spacing w:val="1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与报告管理制度。</w:t>
            </w:r>
          </w:p>
        </w:tc>
        <w:tc>
          <w:tcPr>
            <w:tcW w:w="3289" w:type="dxa"/>
            <w:vAlign w:val="top"/>
          </w:tcPr>
          <w:p>
            <w:pPr>
              <w:pStyle w:val="7"/>
              <w:spacing w:before="132" w:line="232" w:lineRule="auto"/>
              <w:ind w:left="110" w:right="107" w:firstLine="7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企业、行政事业单位内部控制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体系建设</w:t>
            </w:r>
            <w:r>
              <w:rPr>
                <w:rFonts w:hint="default" w:ascii="Times New Roman" w:hAnsi="Times New Roman" w:cs="Times New Roman"/>
                <w:spacing w:val="-6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，</w:t>
            </w:r>
            <w:r>
              <w:rPr>
                <w:rFonts w:hint="default" w:ascii="Times New Roman" w:hAnsi="Times New Roman" w:cs="Times New Roman"/>
                <w:spacing w:val="-6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</w:rPr>
              <w:t>内部控制应用指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引、评价指引的综合应用。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14" w:lineRule="auto"/>
              <w:ind w:left="19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5"/>
              </w:rPr>
              <w:t>财务管理</w:t>
            </w:r>
          </w:p>
        </w:tc>
        <w:tc>
          <w:tcPr>
            <w:tcW w:w="507" w:type="dxa"/>
            <w:vAlign w:val="top"/>
          </w:tcPr>
          <w:p>
            <w:pPr>
              <w:spacing w:line="25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188" w:lineRule="auto"/>
              <w:ind w:left="1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3"/>
              </w:rPr>
              <w:t>12</w:t>
            </w:r>
          </w:p>
        </w:tc>
        <w:tc>
          <w:tcPr>
            <w:tcW w:w="2199" w:type="dxa"/>
            <w:vAlign w:val="top"/>
          </w:tcPr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28" w:lineRule="auto"/>
              <w:ind w:left="114" w:right="104" w:firstLine="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财务管理理论与应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用</w:t>
            </w:r>
          </w:p>
        </w:tc>
        <w:tc>
          <w:tcPr>
            <w:tcW w:w="3524" w:type="dxa"/>
            <w:vAlign w:val="top"/>
          </w:tcPr>
          <w:p>
            <w:pPr>
              <w:pStyle w:val="7"/>
              <w:spacing w:before="258" w:line="231" w:lineRule="auto"/>
              <w:ind w:left="114" w:right="10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企业财务管理基础知识，行政事</w:t>
            </w:r>
            <w:r>
              <w:rPr>
                <w:rFonts w:hint="default" w:ascii="Times New Roman" w:hAnsi="Times New Roman" w:cs="Times New Roman"/>
                <w:spacing w:val="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3"/>
              </w:rPr>
              <w:t>业单位财务制度和资产管理基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础知识。</w:t>
            </w:r>
          </w:p>
        </w:tc>
        <w:tc>
          <w:tcPr>
            <w:tcW w:w="3554" w:type="dxa"/>
            <w:vAlign w:val="top"/>
          </w:tcPr>
          <w:p>
            <w:pPr>
              <w:pStyle w:val="7"/>
              <w:spacing w:before="101" w:line="233" w:lineRule="auto"/>
              <w:ind w:left="116" w:right="10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企业筹资管理、投资管理、营运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资金管理、财务报表分析等实践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运用；行政事业单位财务制度和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资产管理制度。</w:t>
            </w:r>
          </w:p>
        </w:tc>
        <w:tc>
          <w:tcPr>
            <w:tcW w:w="3289" w:type="dxa"/>
            <w:vAlign w:val="top"/>
          </w:tcPr>
          <w:p>
            <w:pPr>
              <w:spacing w:line="33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26" w:lineRule="auto"/>
              <w:ind w:left="125" w:right="107" w:hanging="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财务管理知识在企业、行政事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业单位的综合应用。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0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14" w:lineRule="auto"/>
              <w:ind w:left="19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4"/>
              </w:rPr>
              <w:t>税收实务</w:t>
            </w:r>
          </w:p>
        </w:tc>
        <w:tc>
          <w:tcPr>
            <w:tcW w:w="507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188" w:lineRule="auto"/>
              <w:ind w:left="1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3"/>
              </w:rPr>
              <w:t>13</w:t>
            </w:r>
          </w:p>
        </w:tc>
        <w:tc>
          <w:tcPr>
            <w:tcW w:w="219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27" w:lineRule="auto"/>
              <w:ind w:left="127" w:right="104" w:hanging="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税收法律法规制度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与实务应用</w:t>
            </w:r>
          </w:p>
        </w:tc>
        <w:tc>
          <w:tcPr>
            <w:tcW w:w="10367" w:type="dxa"/>
            <w:gridSpan w:val="3"/>
            <w:vAlign w:val="top"/>
          </w:tcPr>
          <w:p>
            <w:pPr>
              <w:pStyle w:val="7"/>
              <w:spacing w:before="201" w:line="214" w:lineRule="auto"/>
              <w:ind w:left="1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我国税收法律体系概况，当年新制定修订或实施的税收法律法规制度。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7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524" w:type="dxa"/>
            <w:vAlign w:val="top"/>
          </w:tcPr>
          <w:p>
            <w:pPr>
              <w:spacing w:line="42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31" w:lineRule="auto"/>
              <w:ind w:left="116" w:right="104" w:firstLine="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主要税种基本知识，税收征收管</w:t>
            </w:r>
            <w:r>
              <w:rPr>
                <w:rFonts w:hint="default" w:ascii="Times New Roman" w:hAnsi="Times New Roman" w:cs="Times New Roman"/>
                <w:spacing w:val="1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7"/>
              </w:rPr>
              <w:t>理。</w:t>
            </w:r>
          </w:p>
        </w:tc>
        <w:tc>
          <w:tcPr>
            <w:tcW w:w="3554" w:type="dxa"/>
            <w:vAlign w:val="top"/>
          </w:tcPr>
          <w:p>
            <w:pPr>
              <w:spacing w:line="42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26" w:lineRule="auto"/>
              <w:ind w:left="143" w:right="104" w:hanging="2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流转税、所得税等税种重点难点</w:t>
            </w:r>
            <w:r>
              <w:rPr>
                <w:rFonts w:hint="default" w:ascii="Times New Roman" w:hAnsi="Times New Roman" w:cs="Times New Roman"/>
                <w:spacing w:val="9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</w:rPr>
              <w:t>问题，税务与会计相关问题。</w:t>
            </w:r>
          </w:p>
        </w:tc>
        <w:tc>
          <w:tcPr>
            <w:tcW w:w="3289" w:type="dxa"/>
            <w:vAlign w:val="top"/>
          </w:tcPr>
          <w:p>
            <w:pPr>
              <w:pStyle w:val="7"/>
              <w:spacing w:before="40" w:line="233" w:lineRule="auto"/>
              <w:ind w:left="112" w:right="107" w:firstLine="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税收知识在企业、行政事业单</w:t>
            </w:r>
            <w:r>
              <w:rPr>
                <w:rFonts w:hint="default" w:ascii="Times New Roman" w:hAnsi="Times New Roman" w:cs="Times New Roman"/>
                <w:spacing w:val="6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15"/>
              </w:rPr>
              <w:t>位的综合运用及税收规划与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管理；国际税收法律法规及征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管实践；税务违法失信典型案</w:t>
            </w:r>
            <w:r>
              <w:rPr>
                <w:rFonts w:hint="default" w:ascii="Times New Roman" w:hAnsi="Times New Roman" w:cs="Times New Roman"/>
                <w:spacing w:val="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例分析。</w:t>
            </w:r>
          </w:p>
        </w:tc>
      </w:tr>
    </w:tbl>
    <w:p>
      <w:pPr>
        <w:spacing w:line="237" w:lineRule="exact"/>
        <w:rPr>
          <w:rFonts w:ascii="Arial"/>
          <w:sz w:val="20"/>
        </w:rPr>
      </w:pPr>
    </w:p>
    <w:p>
      <w:pPr>
        <w:spacing w:line="237" w:lineRule="exact"/>
        <w:rPr>
          <w:rFonts w:ascii="Arial" w:hAnsi="Arial" w:eastAsia="Arial" w:cs="Arial"/>
          <w:sz w:val="20"/>
          <w:szCs w:val="20"/>
        </w:rPr>
        <w:sectPr>
          <w:footerReference r:id="rId6" w:type="default"/>
          <w:pgSz w:w="16839" w:h="11906"/>
          <w:pgMar w:top="1012" w:right="846" w:bottom="899" w:left="830" w:header="0" w:footer="725" w:gutter="0"/>
          <w:cols w:space="720" w:num="1"/>
        </w:sectPr>
      </w:pPr>
    </w:p>
    <w:p>
      <w:pPr>
        <w:spacing w:line="156" w:lineRule="exact"/>
      </w:pPr>
    </w:p>
    <w:tbl>
      <w:tblPr>
        <w:tblStyle w:val="6"/>
        <w:tblW w:w="151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340"/>
        <w:gridCol w:w="507"/>
        <w:gridCol w:w="2199"/>
        <w:gridCol w:w="3524"/>
        <w:gridCol w:w="3554"/>
        <w:gridCol w:w="32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789" w:type="dxa"/>
            <w:gridSpan w:val="4"/>
            <w:shd w:val="clear" w:color="auto" w:fill="D7D7D7"/>
            <w:vAlign w:val="top"/>
          </w:tcPr>
          <w:p>
            <w:pPr>
              <w:pStyle w:val="7"/>
              <w:spacing w:before="174" w:line="217" w:lineRule="auto"/>
              <w:ind w:left="19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7"/>
              </w:rPr>
              <w:t>专业科目</w:t>
            </w:r>
          </w:p>
        </w:tc>
        <w:tc>
          <w:tcPr>
            <w:tcW w:w="3524" w:type="dxa"/>
            <w:vMerge w:val="restart"/>
            <w:tcBorders>
              <w:bottom w:val="nil"/>
            </w:tcBorders>
            <w:shd w:val="clear" w:color="auto" w:fill="D7D7D7"/>
            <w:vAlign w:val="top"/>
          </w:tcPr>
          <w:p>
            <w:pPr>
              <w:spacing w:line="41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16" w:lineRule="auto"/>
              <w:ind w:left="10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4"/>
              </w:rPr>
              <w:t>初级学习内容</w:t>
            </w:r>
          </w:p>
        </w:tc>
        <w:tc>
          <w:tcPr>
            <w:tcW w:w="3554" w:type="dxa"/>
            <w:vMerge w:val="restart"/>
            <w:tcBorders>
              <w:bottom w:val="nil"/>
            </w:tcBorders>
            <w:shd w:val="clear" w:color="auto" w:fill="D7D7D7"/>
            <w:vAlign w:val="top"/>
          </w:tcPr>
          <w:p>
            <w:pPr>
              <w:spacing w:line="41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14" w:lineRule="auto"/>
              <w:ind w:left="109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8"/>
              </w:rPr>
              <w:t>中级学习内容</w:t>
            </w:r>
          </w:p>
        </w:tc>
        <w:tc>
          <w:tcPr>
            <w:tcW w:w="3289" w:type="dxa"/>
            <w:vMerge w:val="restart"/>
            <w:tcBorders>
              <w:bottom w:val="nil"/>
            </w:tcBorders>
            <w:shd w:val="clear" w:color="auto" w:fill="D7D7D7"/>
            <w:vAlign w:val="top"/>
          </w:tcPr>
          <w:p>
            <w:pPr>
              <w:spacing w:line="41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14" w:lineRule="auto"/>
              <w:ind w:left="94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</w:rPr>
              <w:t>高级学习内容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3" w:type="dxa"/>
            <w:shd w:val="clear" w:color="auto" w:fill="D7D7D7"/>
            <w:vAlign w:val="top"/>
          </w:tcPr>
          <w:p>
            <w:pPr>
              <w:pStyle w:val="7"/>
              <w:spacing w:before="191" w:line="213" w:lineRule="auto"/>
              <w:ind w:left="1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4"/>
              </w:rPr>
              <w:t>类型</w:t>
            </w:r>
          </w:p>
        </w:tc>
        <w:tc>
          <w:tcPr>
            <w:tcW w:w="1340" w:type="dxa"/>
            <w:shd w:val="clear" w:color="auto" w:fill="D7D7D7"/>
            <w:vAlign w:val="top"/>
          </w:tcPr>
          <w:p>
            <w:pPr>
              <w:pStyle w:val="7"/>
              <w:spacing w:before="192" w:line="217" w:lineRule="auto"/>
              <w:ind w:left="43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7"/>
              </w:rPr>
              <w:t>科目</w:t>
            </w:r>
          </w:p>
        </w:tc>
        <w:tc>
          <w:tcPr>
            <w:tcW w:w="507" w:type="dxa"/>
            <w:shd w:val="clear" w:color="auto" w:fill="D7D7D7"/>
            <w:textDirection w:val="tbRlV"/>
            <w:vAlign w:val="top"/>
          </w:tcPr>
          <w:p>
            <w:pPr>
              <w:pStyle w:val="7"/>
              <w:spacing w:before="132" w:line="206" w:lineRule="auto"/>
              <w:ind w:left="3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32"/>
              </w:rPr>
              <w:t>序号</w:t>
            </w:r>
          </w:p>
        </w:tc>
        <w:tc>
          <w:tcPr>
            <w:tcW w:w="2199" w:type="dxa"/>
            <w:shd w:val="clear" w:color="auto" w:fill="D7D7D7"/>
            <w:vAlign w:val="top"/>
          </w:tcPr>
          <w:p>
            <w:pPr>
              <w:pStyle w:val="7"/>
              <w:spacing w:before="192" w:line="217" w:lineRule="auto"/>
              <w:ind w:left="7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7"/>
              </w:rPr>
              <w:t>子科目</w:t>
            </w:r>
          </w:p>
        </w:tc>
        <w:tc>
          <w:tcPr>
            <w:tcW w:w="35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5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92" w:line="232" w:lineRule="auto"/>
              <w:ind w:left="138" w:right="128" w:firstLine="8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1"/>
              </w:rPr>
              <w:t>专业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7"/>
              </w:rPr>
              <w:t>核心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7"/>
              </w:rPr>
              <w:t>知识</w:t>
            </w:r>
          </w:p>
        </w:tc>
        <w:tc>
          <w:tcPr>
            <w:tcW w:w="1340" w:type="dxa"/>
            <w:vMerge w:val="restart"/>
            <w:tcBorders>
              <w:bottom w:val="nil"/>
            </w:tcBorders>
            <w:vAlign w:val="top"/>
          </w:tcPr>
          <w:p>
            <w:pPr>
              <w:spacing w:line="3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28" w:lineRule="auto"/>
              <w:ind w:left="307" w:right="306" w:firstLine="13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0"/>
              </w:rPr>
              <w:t>会计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pacing w:val="-3"/>
              </w:rPr>
              <w:t>信息化</w:t>
            </w:r>
          </w:p>
        </w:tc>
        <w:tc>
          <w:tcPr>
            <w:tcW w:w="507" w:type="dxa"/>
            <w:vAlign w:val="top"/>
          </w:tcPr>
          <w:p>
            <w:pPr>
              <w:pStyle w:val="7"/>
              <w:spacing w:before="259" w:line="188" w:lineRule="auto"/>
              <w:ind w:left="1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3"/>
              </w:rPr>
              <w:t>14</w:t>
            </w:r>
          </w:p>
        </w:tc>
        <w:tc>
          <w:tcPr>
            <w:tcW w:w="2199" w:type="dxa"/>
            <w:vAlign w:val="top"/>
          </w:tcPr>
          <w:p>
            <w:pPr>
              <w:pStyle w:val="7"/>
              <w:spacing w:before="228" w:line="215" w:lineRule="auto"/>
              <w:ind w:left="11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会计数据标准应用</w:t>
            </w:r>
          </w:p>
        </w:tc>
        <w:tc>
          <w:tcPr>
            <w:tcW w:w="10367" w:type="dxa"/>
            <w:gridSpan w:val="3"/>
            <w:vAlign w:val="top"/>
          </w:tcPr>
          <w:p>
            <w:pPr>
              <w:pStyle w:val="7"/>
              <w:spacing w:before="228" w:line="214" w:lineRule="auto"/>
              <w:ind w:left="1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会计数据标准介绍及在企业、行政事业单位中的应用。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07" w:type="dxa"/>
            <w:vAlign w:val="top"/>
          </w:tcPr>
          <w:p>
            <w:pPr>
              <w:pStyle w:val="7"/>
              <w:spacing w:before="284" w:line="188" w:lineRule="auto"/>
              <w:ind w:left="1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3"/>
              </w:rPr>
              <w:t>15</w:t>
            </w:r>
          </w:p>
        </w:tc>
        <w:tc>
          <w:tcPr>
            <w:tcW w:w="2199" w:type="dxa"/>
            <w:vAlign w:val="top"/>
          </w:tcPr>
          <w:p>
            <w:pPr>
              <w:pStyle w:val="7"/>
              <w:spacing w:before="96" w:line="227" w:lineRule="auto"/>
              <w:ind w:left="117" w:right="104" w:firstLine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数字技术在会计与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</w:rPr>
              <w:t>财务工作中的应用</w:t>
            </w:r>
          </w:p>
        </w:tc>
        <w:tc>
          <w:tcPr>
            <w:tcW w:w="10367" w:type="dxa"/>
            <w:gridSpan w:val="3"/>
            <w:vAlign w:val="top"/>
          </w:tcPr>
          <w:p>
            <w:pPr>
              <w:pStyle w:val="7"/>
              <w:spacing w:before="252" w:line="214" w:lineRule="auto"/>
              <w:ind w:left="1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会计信息化、数字化相关制度，数字技术在会计与财务</w:t>
            </w:r>
            <w:r>
              <w:rPr>
                <w:rFonts w:hint="default" w:ascii="Times New Roman" w:hAnsi="Times New Roman" w:cs="Times New Roman"/>
                <w:spacing w:val="-1"/>
              </w:rPr>
              <w:t>工作中的应用，预算管理一体化。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743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4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31" w:lineRule="auto"/>
              <w:ind w:left="141" w:right="128" w:firstLine="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1"/>
              </w:rPr>
              <w:t>专业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9"/>
              </w:rPr>
              <w:t>拓展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9"/>
              </w:rPr>
              <w:t>知识</w:t>
            </w:r>
          </w:p>
        </w:tc>
        <w:tc>
          <w:tcPr>
            <w:tcW w:w="1340" w:type="dxa"/>
            <w:vAlign w:val="top"/>
          </w:tcPr>
          <w:p>
            <w:pPr>
              <w:pStyle w:val="7"/>
              <w:spacing w:before="109" w:line="227" w:lineRule="auto"/>
              <w:ind w:left="187" w:right="186" w:firstLine="1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9"/>
              </w:rPr>
              <w:t>可持续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pacing w:val="-3"/>
              </w:rPr>
              <w:t>信息披露</w:t>
            </w:r>
          </w:p>
        </w:tc>
        <w:tc>
          <w:tcPr>
            <w:tcW w:w="507" w:type="dxa"/>
            <w:vAlign w:val="top"/>
          </w:tcPr>
          <w:p>
            <w:pPr>
              <w:pStyle w:val="7"/>
              <w:spacing w:before="297" w:line="188" w:lineRule="auto"/>
              <w:ind w:left="1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3"/>
              </w:rPr>
              <w:t>16</w:t>
            </w:r>
          </w:p>
        </w:tc>
        <w:tc>
          <w:tcPr>
            <w:tcW w:w="2199" w:type="dxa"/>
            <w:vAlign w:val="top"/>
          </w:tcPr>
          <w:p>
            <w:pPr>
              <w:pStyle w:val="7"/>
              <w:spacing w:before="110" w:line="227" w:lineRule="auto"/>
              <w:ind w:left="128" w:right="106" w:hanging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可持续信息披露研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9"/>
              </w:rPr>
              <w:t>究动态</w:t>
            </w:r>
          </w:p>
        </w:tc>
        <w:tc>
          <w:tcPr>
            <w:tcW w:w="10367" w:type="dxa"/>
            <w:gridSpan w:val="3"/>
            <w:vAlign w:val="top"/>
          </w:tcPr>
          <w:p>
            <w:pPr>
              <w:pStyle w:val="7"/>
              <w:spacing w:before="266" w:line="213" w:lineRule="auto"/>
              <w:ind w:left="12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可持续披露准则相关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</w:rPr>
              <w:t>情况，环境、社会与公司</w:t>
            </w:r>
            <w:r>
              <w:rPr>
                <w:rFonts w:hint="default" w:ascii="Times New Roman" w:hAnsi="Times New Roman" w:cs="Times New Roman"/>
                <w:spacing w:val="-1"/>
              </w:rPr>
              <w:t>治理（ESG）信息披露专题及相关热点问题。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pStyle w:val="7"/>
              <w:spacing w:before="267" w:line="216" w:lineRule="auto"/>
              <w:ind w:left="2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9"/>
              </w:rPr>
              <w:t>审计基础</w:t>
            </w:r>
          </w:p>
        </w:tc>
        <w:tc>
          <w:tcPr>
            <w:tcW w:w="507" w:type="dxa"/>
            <w:vAlign w:val="top"/>
          </w:tcPr>
          <w:p>
            <w:pPr>
              <w:pStyle w:val="7"/>
              <w:spacing w:before="298" w:line="188" w:lineRule="auto"/>
              <w:ind w:left="1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3"/>
              </w:rPr>
              <w:t>17</w:t>
            </w:r>
          </w:p>
        </w:tc>
        <w:tc>
          <w:tcPr>
            <w:tcW w:w="2199" w:type="dxa"/>
            <w:vAlign w:val="top"/>
          </w:tcPr>
          <w:p>
            <w:pPr>
              <w:pStyle w:val="7"/>
              <w:spacing w:before="267" w:line="215" w:lineRule="auto"/>
              <w:ind w:left="1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审计基础知识</w:t>
            </w:r>
          </w:p>
        </w:tc>
        <w:tc>
          <w:tcPr>
            <w:tcW w:w="10367" w:type="dxa"/>
            <w:gridSpan w:val="3"/>
            <w:vAlign w:val="top"/>
          </w:tcPr>
          <w:p>
            <w:pPr>
              <w:pStyle w:val="7"/>
              <w:spacing w:before="267" w:line="214" w:lineRule="auto"/>
              <w:ind w:left="12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审计的基本理论、程序和方法等基础知识及相关热点问题。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pStyle w:val="7"/>
              <w:spacing w:before="209" w:line="218" w:lineRule="auto"/>
              <w:ind w:left="19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5"/>
              </w:rPr>
              <w:t>金融基础</w:t>
            </w:r>
          </w:p>
        </w:tc>
        <w:tc>
          <w:tcPr>
            <w:tcW w:w="507" w:type="dxa"/>
            <w:vAlign w:val="top"/>
          </w:tcPr>
          <w:p>
            <w:pPr>
              <w:pStyle w:val="7"/>
              <w:spacing w:before="239" w:line="188" w:lineRule="auto"/>
              <w:ind w:left="1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3"/>
              </w:rPr>
              <w:t>18</w:t>
            </w:r>
          </w:p>
        </w:tc>
        <w:tc>
          <w:tcPr>
            <w:tcW w:w="2199" w:type="dxa"/>
            <w:vAlign w:val="top"/>
          </w:tcPr>
          <w:p>
            <w:pPr>
              <w:pStyle w:val="7"/>
              <w:spacing w:before="209" w:line="215" w:lineRule="auto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金融基础知识</w:t>
            </w:r>
          </w:p>
        </w:tc>
        <w:tc>
          <w:tcPr>
            <w:tcW w:w="10367" w:type="dxa"/>
            <w:gridSpan w:val="3"/>
            <w:vAlign w:val="top"/>
          </w:tcPr>
          <w:p>
            <w:pPr>
              <w:pStyle w:val="7"/>
              <w:spacing w:before="208" w:line="214" w:lineRule="auto"/>
              <w:ind w:left="1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金融风险防范、金融科技与监管、数字金融、国际金融</w:t>
            </w:r>
            <w:r>
              <w:rPr>
                <w:rFonts w:hint="default" w:ascii="Times New Roman" w:hAnsi="Times New Roman" w:cs="Times New Roman"/>
                <w:spacing w:val="-1"/>
              </w:rPr>
              <w:t>等基础知识及相关热点问题。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29" w:lineRule="auto"/>
              <w:ind w:left="443" w:right="186" w:hanging="24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5"/>
              </w:rPr>
              <w:t>财经相关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12"/>
              </w:rPr>
              <w:t>法规</w:t>
            </w:r>
          </w:p>
        </w:tc>
        <w:tc>
          <w:tcPr>
            <w:tcW w:w="507" w:type="dxa"/>
            <w:vAlign w:val="top"/>
          </w:tcPr>
          <w:p>
            <w:pPr>
              <w:pStyle w:val="7"/>
              <w:spacing w:before="287" w:line="188" w:lineRule="auto"/>
              <w:ind w:left="1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3"/>
              </w:rPr>
              <w:t>19</w:t>
            </w:r>
          </w:p>
        </w:tc>
        <w:tc>
          <w:tcPr>
            <w:tcW w:w="2199" w:type="dxa"/>
            <w:vAlign w:val="top"/>
          </w:tcPr>
          <w:p>
            <w:pPr>
              <w:pStyle w:val="7"/>
              <w:spacing w:before="256" w:line="214" w:lineRule="auto"/>
              <w:ind w:left="11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财政金融法律法规</w:t>
            </w:r>
          </w:p>
        </w:tc>
        <w:tc>
          <w:tcPr>
            <w:tcW w:w="10367" w:type="dxa"/>
            <w:gridSpan w:val="3"/>
            <w:vAlign w:val="top"/>
          </w:tcPr>
          <w:p>
            <w:pPr>
              <w:pStyle w:val="7"/>
              <w:spacing w:before="256" w:line="214" w:lineRule="auto"/>
              <w:ind w:left="13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国有资产管理、预算、证券、保险、政府采购等领域的法律制度，票据法律制度等。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07" w:type="dxa"/>
            <w:vAlign w:val="top"/>
          </w:tcPr>
          <w:p>
            <w:pPr>
              <w:pStyle w:val="7"/>
              <w:spacing w:before="314" w:line="188" w:lineRule="auto"/>
              <w:ind w:left="1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20</w:t>
            </w:r>
          </w:p>
        </w:tc>
        <w:tc>
          <w:tcPr>
            <w:tcW w:w="2199" w:type="dxa"/>
            <w:vAlign w:val="top"/>
          </w:tcPr>
          <w:p>
            <w:pPr>
              <w:pStyle w:val="7"/>
              <w:spacing w:before="283" w:line="216" w:lineRule="auto"/>
              <w:ind w:left="11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公司治理法律法规</w:t>
            </w:r>
          </w:p>
        </w:tc>
        <w:tc>
          <w:tcPr>
            <w:tcW w:w="10367" w:type="dxa"/>
            <w:gridSpan w:val="3"/>
            <w:vAlign w:val="top"/>
          </w:tcPr>
          <w:p>
            <w:pPr>
              <w:pStyle w:val="7"/>
              <w:spacing w:before="283" w:line="213" w:lineRule="auto"/>
              <w:ind w:left="11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公司、合伙企业、个人独资、外商投资企业等不同企业类别法律制</w:t>
            </w:r>
            <w:r>
              <w:rPr>
                <w:rFonts w:hint="default" w:ascii="Times New Roman" w:hAnsi="Times New Roman" w:cs="Times New Roman"/>
                <w:spacing w:val="-1"/>
              </w:rPr>
              <w:t>度，破产法律制度等。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07" w:type="dxa"/>
            <w:vAlign w:val="top"/>
          </w:tcPr>
          <w:p>
            <w:pPr>
              <w:pStyle w:val="7"/>
              <w:spacing w:before="254" w:line="188" w:lineRule="auto"/>
              <w:ind w:left="1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21</w:t>
            </w:r>
          </w:p>
        </w:tc>
        <w:tc>
          <w:tcPr>
            <w:tcW w:w="2199" w:type="dxa"/>
            <w:vAlign w:val="top"/>
          </w:tcPr>
          <w:p>
            <w:pPr>
              <w:pStyle w:val="7"/>
              <w:spacing w:before="223" w:line="216" w:lineRule="auto"/>
              <w:ind w:left="11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2"/>
              </w:rPr>
              <w:t>其他法律法规</w:t>
            </w:r>
          </w:p>
        </w:tc>
        <w:tc>
          <w:tcPr>
            <w:tcW w:w="10367" w:type="dxa"/>
            <w:gridSpan w:val="3"/>
            <w:vAlign w:val="top"/>
          </w:tcPr>
          <w:p>
            <w:pPr>
              <w:pStyle w:val="7"/>
              <w:spacing w:before="223" w:line="214" w:lineRule="auto"/>
              <w:ind w:left="14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3"/>
              </w:rPr>
              <w:t>民法典中与经济业务事项相关的法律知识等。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0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29" w:lineRule="auto"/>
              <w:ind w:left="197" w:right="186" w:hanging="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5"/>
              </w:rPr>
              <w:t>其他财会</w:t>
            </w:r>
            <w:r>
              <w:rPr>
                <w:rFonts w:hint="default" w:ascii="Times New Roman" w:hAnsi="Times New Roman" w:cs="Times New Roman"/>
                <w:spacing w:val="1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pacing w:val="-5"/>
              </w:rPr>
              <w:t>财经热点</w:t>
            </w:r>
          </w:p>
        </w:tc>
        <w:tc>
          <w:tcPr>
            <w:tcW w:w="507" w:type="dxa"/>
            <w:vAlign w:val="top"/>
          </w:tcPr>
          <w:p>
            <w:pPr>
              <w:spacing w:line="29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188" w:lineRule="auto"/>
              <w:ind w:left="1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22</w:t>
            </w:r>
          </w:p>
        </w:tc>
        <w:tc>
          <w:tcPr>
            <w:tcW w:w="2199" w:type="dxa"/>
            <w:vAlign w:val="top"/>
          </w:tcPr>
          <w:p>
            <w:pPr>
              <w:pStyle w:val="7"/>
              <w:spacing w:before="185" w:line="229" w:lineRule="auto"/>
              <w:ind w:left="117" w:right="10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会计与财务前沿问</w:t>
            </w:r>
            <w:r>
              <w:rPr>
                <w:rFonts w:hint="default" w:ascii="Times New Roman" w:hAnsi="Times New Roman" w:cs="Times New Roman"/>
                <w:spacing w:val="2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题</w:t>
            </w:r>
          </w:p>
        </w:tc>
        <w:tc>
          <w:tcPr>
            <w:tcW w:w="10367" w:type="dxa"/>
            <w:gridSpan w:val="3"/>
            <w:vAlign w:val="top"/>
          </w:tcPr>
          <w:p>
            <w:pPr>
              <w:pStyle w:val="7"/>
              <w:spacing w:before="183" w:line="227" w:lineRule="auto"/>
              <w:ind w:left="113" w:right="108" w:firstLine="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会计国际治理体系、国际会计准则最新发展、商业模式创新与会计变革、智能财务与共享中心建</w:t>
            </w:r>
            <w:r>
              <w:rPr>
                <w:rFonts w:hint="default" w:ascii="Times New Roman" w:hAnsi="Times New Roman" w:cs="Times New Roman"/>
                <w:spacing w:val="1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</w:rPr>
              <w:t>设、“双碳”政策与会计行业发展等热点会计与财务问题。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07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188" w:lineRule="auto"/>
              <w:ind w:left="1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23</w:t>
            </w:r>
          </w:p>
        </w:tc>
        <w:tc>
          <w:tcPr>
            <w:tcW w:w="2199" w:type="dxa"/>
            <w:vAlign w:val="top"/>
          </w:tcPr>
          <w:p>
            <w:pPr>
              <w:pStyle w:val="7"/>
              <w:spacing w:before="253" w:line="228" w:lineRule="auto"/>
              <w:ind w:left="142" w:right="104" w:hanging="2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财税体制改革热点</w:t>
            </w:r>
            <w:r>
              <w:rPr>
                <w:rFonts w:hint="default" w:ascii="Times New Roman" w:hAnsi="Times New Roman" w:cs="Times New Roman"/>
                <w:spacing w:val="3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9"/>
              </w:rPr>
              <w:t>问题</w:t>
            </w:r>
          </w:p>
        </w:tc>
        <w:tc>
          <w:tcPr>
            <w:tcW w:w="10367" w:type="dxa"/>
            <w:gridSpan w:val="3"/>
            <w:vAlign w:val="top"/>
          </w:tcPr>
          <w:p>
            <w:pPr>
              <w:spacing w:line="32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78" w:line="214" w:lineRule="auto"/>
              <w:ind w:left="11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财税体制改革背景、历程与展望，财税体制改革相关理</w:t>
            </w:r>
            <w:r>
              <w:rPr>
                <w:rFonts w:hint="default" w:ascii="Times New Roman" w:hAnsi="Times New Roman" w:cs="Times New Roman"/>
                <w:spacing w:val="-1"/>
              </w:rPr>
              <w:t>论，财税体制改革主要内容等。</w:t>
            </w:r>
          </w:p>
        </w:tc>
      </w:tr>
    </w:tbl>
    <w:p>
      <w:pPr>
        <w:pStyle w:val="2"/>
        <w:spacing w:before="49" w:line="214" w:lineRule="auto"/>
        <w:ind w:left="472"/>
        <w:rPr>
          <w:sz w:val="22"/>
          <w:szCs w:val="22"/>
        </w:rPr>
      </w:pPr>
    </w:p>
    <w:sectPr>
      <w:footerReference r:id="rId7" w:type="default"/>
      <w:pgSz w:w="16839" w:h="11906"/>
      <w:pgMar w:top="1012" w:right="846" w:bottom="897" w:left="830" w:header="0" w:footer="7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7516"/>
      <w:rPr>
        <w:rFonts w:hint="eastAsia" w:ascii="Arial" w:hAnsi="Arial" w:eastAsia="宋体" w:cs="Arial"/>
        <w:sz w:val="18"/>
        <w:szCs w:val="18"/>
        <w:lang w:val="en-US" w:eastAsia="zh-CN"/>
      </w:rPr>
    </w:pPr>
    <w:r>
      <w:rPr>
        <w:rFonts w:hint="eastAsia" w:eastAsia="宋体" w:cs="Arial"/>
        <w:sz w:val="18"/>
        <w:szCs w:val="18"/>
        <w:lang w:val="en-US" w:eastAsia="zh-CN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7515"/>
      <w:rPr>
        <w:rFonts w:hint="eastAsia" w:ascii="Arial" w:hAnsi="Arial" w:eastAsia="宋体" w:cs="Arial"/>
        <w:sz w:val="18"/>
        <w:szCs w:val="18"/>
        <w:lang w:val="en-US" w:eastAsia="zh-CN"/>
      </w:rPr>
    </w:pPr>
    <w:r>
      <w:rPr>
        <w:rFonts w:hint="eastAsia" w:eastAsia="宋体" w:cs="Arial"/>
        <w:spacing w:val="1"/>
        <w:sz w:val="18"/>
        <w:szCs w:val="18"/>
        <w:lang w:val="en-US" w:eastAsia="zh-CN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7517"/>
      <w:rPr>
        <w:rFonts w:hint="eastAsia" w:ascii="Arial" w:hAnsi="Arial" w:eastAsia="宋体" w:cs="Arial"/>
        <w:sz w:val="18"/>
        <w:szCs w:val="18"/>
        <w:lang w:val="en-US" w:eastAsia="zh-CN"/>
      </w:rPr>
    </w:pPr>
    <w:r>
      <w:rPr>
        <w:rFonts w:hint="eastAsia" w:eastAsia="宋体" w:cs="Arial"/>
        <w:sz w:val="18"/>
        <w:szCs w:val="18"/>
        <w:lang w:val="en-US" w:eastAsia="zh-CN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TrueTypeFonts/>
  <w:saveSubsetFonts/>
  <w:revisionView w:markup="0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F61A80"/>
    <w:rsid w:val="13E66BA9"/>
    <w:rsid w:val="140C7D1F"/>
    <w:rsid w:val="BF8B27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3539</Words>
  <Characters>3593</Characters>
  <TotalTime>4</TotalTime>
  <ScaleCrop>false</ScaleCrop>
  <LinksUpToDate>false</LinksUpToDate>
  <CharactersWithSpaces>3740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2022-12-29T17:46:00Z</dcterms:created>
  <dc:creator>Admin</dc:creator>
  <cp:lastModifiedBy>kylin</cp:lastModifiedBy>
  <cp:lastPrinted>2025-03-27T11:14:00Z</cp:lastPrinted>
  <dcterms:modified xsi:type="dcterms:W3CDTF">2025-03-31T09:51:51Z</dcterms:modified>
  <dc:title>会计人员继续教育专业科目指南（试行）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2025-02-28T13:26:35Z</vt:filetime>
  </property>
  <property fmtid="{D5CDD505-2E9C-101B-9397-08002B2CF9AE}" pid="4" name="KSOTemplateDocerSaveRecord">
    <vt:lpwstr>eyJoZGlkIjoiYWM1MmNhNmUxMzAzMGQ0ZjBjMTliYjI2MTkyOWZhOGMiLCJ1c2VySWQiOiI0NTM0ODUwMTMifQ==</vt:lpwstr>
  </property>
  <property fmtid="{D5CDD505-2E9C-101B-9397-08002B2CF9AE}" pid="5" name="KSOProductBuildVer">
    <vt:lpwstr>2052-11.8.2.10290</vt:lpwstr>
  </property>
  <property fmtid="{D5CDD505-2E9C-101B-9397-08002B2CF9AE}" pid="6" name="ICV">
    <vt:lpwstr>E6D4211388844C29AA3FCA7947EB243B_12</vt:lpwstr>
  </property>
</Properties>
</file>