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jc w:val="center"/>
        <w:rPr>
          <w:rFonts w:ascii="黑体" w:eastAsia="黑体"/>
          <w:w w:val="95"/>
          <w:sz w:val="44"/>
          <w:szCs w:val="44"/>
        </w:rPr>
      </w:pPr>
    </w:p>
    <w:p>
      <w:pPr>
        <w:spacing w:line="580" w:lineRule="exact"/>
        <w:jc w:val="center"/>
        <w:rPr>
          <w:rFonts w:ascii="黑体" w:eastAsia="黑体"/>
          <w:w w:val="95"/>
          <w:sz w:val="44"/>
          <w:szCs w:val="44"/>
        </w:rPr>
      </w:pPr>
      <w:r>
        <w:rPr>
          <w:rFonts w:hint="eastAsia" w:ascii="黑体" w:eastAsia="黑体"/>
          <w:w w:val="95"/>
          <w:sz w:val="44"/>
          <w:szCs w:val="44"/>
        </w:rPr>
        <w:t>天津海事法院2017年度部门决算编制说明</w:t>
      </w:r>
    </w:p>
    <w:p>
      <w:pPr>
        <w:spacing w:line="580" w:lineRule="exact"/>
        <w:jc w:val="center"/>
        <w:rPr>
          <w:rFonts w:ascii="黑体" w:eastAsia="黑体"/>
          <w:sz w:val="30"/>
          <w:szCs w:val="30"/>
        </w:rPr>
      </w:pPr>
    </w:p>
    <w:p>
      <w:pPr>
        <w:spacing w:line="580" w:lineRule="exact"/>
        <w:jc w:val="center"/>
        <w:rPr>
          <w:rFonts w:ascii="黑体" w:eastAsia="黑体"/>
          <w:sz w:val="30"/>
          <w:szCs w:val="30"/>
        </w:rPr>
      </w:pPr>
      <w:r>
        <w:rPr>
          <w:rFonts w:hint="eastAsia" w:ascii="黑体" w:eastAsia="黑体"/>
          <w:sz w:val="30"/>
          <w:szCs w:val="30"/>
        </w:rPr>
        <w:t>第一部分  天津海事法院概况</w:t>
      </w:r>
    </w:p>
    <w:p>
      <w:pPr>
        <w:spacing w:line="580" w:lineRule="exact"/>
        <w:ind w:firstLine="602" w:firstLineChars="200"/>
        <w:rPr>
          <w:rFonts w:ascii="楷体_GB2312" w:eastAsia="楷体_GB2312"/>
          <w:b/>
          <w:sz w:val="30"/>
          <w:szCs w:val="30"/>
        </w:rPr>
      </w:pP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一、部门主要职责</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1、依照法律规定以及我国参加的有关国际公约，参照国际惯例，审判本辖区内由海事法院管辖的海事、海商等一审案件；受理海事请求权人申请扣押船舶及其申请扣押船载货物、船用燃油的案件.</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2、受理不服本院判决、裁定的各类申诉案件，对其中有错误的已经发生法律效力的判决、裁定，进行再审。</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3、依法审判由人民检察院按照审判监督程序提出的抗诉案件。</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4、依法行使司法执行权和司法决定权。</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5、依法决定国家赔偿。</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6、对审判工用进行调查研究，针对案件审理中发现的问题提出司法建议。</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7、对本院的法官和其他工作人员进行思想政治教育、组织专业培训，按照权限管理法官和其他工作人员。</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8、负责本院的纪检、监察工作。</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9、负责本院业务经费、物资装备的使用管理。</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10、承办其他应由天津海事法院负责的工作。</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二、部门机构设置</w:t>
      </w:r>
    </w:p>
    <w:p>
      <w:pPr>
        <w:spacing w:line="580" w:lineRule="exact"/>
        <w:ind w:firstLine="600"/>
        <w:rPr>
          <w:rFonts w:ascii="仿宋" w:hAnsi="仿宋" w:eastAsia="仿宋"/>
          <w:sz w:val="30"/>
          <w:szCs w:val="30"/>
        </w:rPr>
      </w:pPr>
      <w:r>
        <w:rPr>
          <w:rFonts w:hint="eastAsia" w:ascii="仿宋" w:hAnsi="仿宋" w:eastAsia="仿宋"/>
          <w:sz w:val="30"/>
          <w:szCs w:val="30"/>
        </w:rPr>
        <w:t>根据上述职责，天津海事法院部门内设10个职能处室。根据决算编报要求，纳入天津海事法院2017年部门决算编报范围为天津海事法院部门本级。</w:t>
      </w:r>
    </w:p>
    <w:p>
      <w:pPr>
        <w:spacing w:line="580" w:lineRule="exact"/>
        <w:ind w:firstLine="600" w:firstLineChars="200"/>
        <w:rPr>
          <w:rFonts w:ascii="黑体" w:eastAsia="黑体"/>
          <w:sz w:val="30"/>
          <w:szCs w:val="30"/>
        </w:rPr>
      </w:pPr>
    </w:p>
    <w:p>
      <w:pPr>
        <w:spacing w:line="580" w:lineRule="exact"/>
        <w:ind w:firstLine="600" w:firstLineChars="200"/>
        <w:rPr>
          <w:rFonts w:ascii="黑体" w:eastAsia="黑体"/>
          <w:sz w:val="30"/>
          <w:szCs w:val="30"/>
        </w:rPr>
      </w:pPr>
      <w:r>
        <w:rPr>
          <w:rFonts w:hint="eastAsia" w:ascii="黑体" w:eastAsia="黑体"/>
          <w:sz w:val="30"/>
          <w:szCs w:val="30"/>
        </w:rPr>
        <w:t>第二部分  天津海事法院2017年度部门决算情况说明</w:t>
      </w:r>
    </w:p>
    <w:p>
      <w:pPr>
        <w:spacing w:line="580" w:lineRule="exact"/>
        <w:ind w:firstLine="600" w:firstLineChars="200"/>
        <w:rPr>
          <w:rFonts w:ascii="黑体" w:eastAsia="黑体"/>
          <w:sz w:val="30"/>
          <w:szCs w:val="30"/>
        </w:rPr>
      </w:pP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一、关于</w:t>
      </w:r>
      <w:r>
        <w:rPr>
          <w:rFonts w:hint="eastAsia" w:ascii="楷体_GB2312" w:hAnsi="宋体" w:eastAsia="楷体_GB2312"/>
          <w:b/>
          <w:sz w:val="30"/>
          <w:szCs w:val="30"/>
        </w:rPr>
        <w:t>天津海事法院</w:t>
      </w:r>
      <w:r>
        <w:rPr>
          <w:rFonts w:hint="eastAsia" w:ascii="楷体_GB2312" w:eastAsia="楷体_GB2312"/>
          <w:b/>
          <w:sz w:val="30"/>
          <w:szCs w:val="30"/>
        </w:rPr>
        <w:t>2017年度部门决算收入情况说明</w:t>
      </w:r>
    </w:p>
    <w:p>
      <w:pPr>
        <w:spacing w:line="600" w:lineRule="exact"/>
        <w:ind w:firstLine="600" w:firstLineChars="200"/>
        <w:rPr>
          <w:rFonts w:ascii="仿宋" w:hAnsi="仿宋" w:eastAsia="仿宋"/>
          <w:sz w:val="30"/>
          <w:szCs w:val="30"/>
        </w:rPr>
      </w:pPr>
      <w:r>
        <w:rPr>
          <w:rFonts w:hint="eastAsia" w:ascii="仿宋" w:hAnsi="仿宋" w:eastAsia="仿宋"/>
          <w:sz w:val="30"/>
          <w:szCs w:val="30"/>
        </w:rPr>
        <w:t>天津海事法院2017年度部门决算收入总计 5236.5万元，与2016年决算相比增加477.3万元，其中：财政拨款收入4693.1万元，占89.62%；其他收入26.1万元，占0.5%。</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二、关于</w:t>
      </w:r>
      <w:r>
        <w:rPr>
          <w:rFonts w:hint="eastAsia" w:ascii="楷体_GB2312" w:hAnsi="宋体" w:eastAsia="楷体_GB2312"/>
          <w:b/>
          <w:sz w:val="30"/>
          <w:szCs w:val="30"/>
        </w:rPr>
        <w:t>天津海事法院</w:t>
      </w:r>
      <w:r>
        <w:rPr>
          <w:rFonts w:hint="eastAsia" w:ascii="楷体_GB2312" w:eastAsia="楷体_GB2312"/>
          <w:b/>
          <w:sz w:val="30"/>
          <w:szCs w:val="30"/>
        </w:rPr>
        <w:t>2017年度部门决算支出情况说明</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天津海事法院2017年度部门决算支出总计5236.5万元，与2016年决算相比增加477.3万元,其中：基本支出3473.8万元，占66.34%；项目支出 368.8万元，占7.04%。</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三、关于</w:t>
      </w:r>
      <w:r>
        <w:rPr>
          <w:rFonts w:hint="eastAsia" w:ascii="楷体_GB2312" w:hAnsi="宋体" w:eastAsia="楷体_GB2312"/>
          <w:b/>
          <w:sz w:val="30"/>
          <w:szCs w:val="30"/>
        </w:rPr>
        <w:t>天津海事法院</w:t>
      </w:r>
      <w:r>
        <w:rPr>
          <w:rFonts w:hint="eastAsia" w:ascii="楷体_GB2312" w:eastAsia="楷体_GB2312"/>
          <w:b/>
          <w:sz w:val="30"/>
          <w:szCs w:val="30"/>
        </w:rPr>
        <w:t>2017年度部门决算一般公共预算财政拨款支出情况说明</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天津海事法院2017年度部门决算一般公共预算财政拨款支出总计3842.6万元，与上年决算相比减少295.2万元，具体情况如下：</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1、公共安全支出 3476 万元，与上年决算相比减少499.1   万元，其中：</w:t>
      </w:r>
    </w:p>
    <w:p>
      <w:pPr>
        <w:spacing w:line="580" w:lineRule="exact"/>
        <w:ind w:firstLine="600" w:firstLineChars="200"/>
        <w:jc w:val="both"/>
        <w:rPr>
          <w:rFonts w:ascii="仿宋" w:hAnsi="仿宋" w:eastAsia="仿宋"/>
          <w:sz w:val="30"/>
          <w:szCs w:val="30"/>
        </w:rPr>
      </w:pPr>
      <w:r>
        <w:rPr>
          <w:rFonts w:hint="eastAsia" w:ascii="仿宋" w:hAnsi="仿宋" w:eastAsia="仿宋"/>
          <w:sz w:val="30"/>
          <w:szCs w:val="30"/>
        </w:rPr>
        <w:t>行政运行开支 2810.4万元，主要用于：工资福利支出、商品和服务支出和对个人和家庭的补助。</w:t>
      </w:r>
    </w:p>
    <w:p>
      <w:pPr>
        <w:spacing w:line="580" w:lineRule="exact"/>
        <w:ind w:firstLine="600" w:firstLineChars="200"/>
        <w:jc w:val="both"/>
        <w:rPr>
          <w:rFonts w:ascii="仿宋" w:hAnsi="仿宋" w:eastAsia="仿宋"/>
          <w:sz w:val="30"/>
          <w:szCs w:val="30"/>
        </w:rPr>
      </w:pPr>
      <w:r>
        <w:rPr>
          <w:rFonts w:hint="eastAsia" w:ascii="仿宋" w:hAnsi="仿宋" w:eastAsia="仿宋"/>
          <w:sz w:val="30"/>
          <w:szCs w:val="30"/>
        </w:rPr>
        <w:t>一般行政管理事务开支336.8万元，主要用于商品和服务支出和年初安排的项目支出----办公电脑更新。</w:t>
      </w:r>
    </w:p>
    <w:p>
      <w:pPr>
        <w:spacing w:line="580" w:lineRule="exact"/>
        <w:ind w:firstLine="600" w:firstLineChars="200"/>
        <w:jc w:val="both"/>
        <w:rPr>
          <w:rFonts w:ascii="仿宋" w:hAnsi="仿宋" w:eastAsia="仿宋"/>
          <w:sz w:val="30"/>
          <w:szCs w:val="30"/>
        </w:rPr>
      </w:pPr>
      <w:r>
        <w:rPr>
          <w:rFonts w:hint="eastAsia" w:ascii="仿宋" w:hAnsi="仿宋" w:eastAsia="仿宋"/>
          <w:sz w:val="30"/>
          <w:szCs w:val="30"/>
        </w:rPr>
        <w:t>案件审判开支216.9万元，主要用于弥补商品和服务支出和其他资本性支出。其他资本性支出75万元为公务用车购置开支。</w:t>
      </w:r>
    </w:p>
    <w:p>
      <w:pPr>
        <w:spacing w:line="580" w:lineRule="exact"/>
        <w:ind w:firstLine="600" w:firstLineChars="200"/>
        <w:jc w:val="both"/>
        <w:rPr>
          <w:rFonts w:ascii="仿宋" w:hAnsi="仿宋" w:eastAsia="仿宋"/>
          <w:sz w:val="30"/>
          <w:szCs w:val="30"/>
        </w:rPr>
      </w:pPr>
      <w:r>
        <w:rPr>
          <w:rFonts w:hint="eastAsia" w:ascii="仿宋" w:hAnsi="仿宋" w:eastAsia="仿宋"/>
          <w:sz w:val="30"/>
          <w:szCs w:val="30"/>
        </w:rPr>
        <w:t>其他法院支出111.9万元，主要用于弥补商品和服务支出和其他资本性支出。其它资本性支出44.8万元，其中：办公设备购置开支13.1万元，专用设备购置2.6万元，信息网络及软件购置更新29.1万元。</w:t>
      </w:r>
    </w:p>
    <w:p>
      <w:pPr>
        <w:spacing w:line="580" w:lineRule="exact"/>
        <w:ind w:firstLine="600" w:firstLineChars="200"/>
        <w:jc w:val="both"/>
        <w:rPr>
          <w:rFonts w:ascii="仿宋" w:hAnsi="仿宋" w:eastAsia="仿宋"/>
          <w:sz w:val="30"/>
          <w:szCs w:val="30"/>
        </w:rPr>
      </w:pPr>
      <w:r>
        <w:rPr>
          <w:rFonts w:hint="eastAsia" w:ascii="仿宋" w:hAnsi="仿宋" w:eastAsia="仿宋"/>
          <w:sz w:val="30"/>
          <w:szCs w:val="30"/>
        </w:rPr>
        <w:t>2、社会保障和就业支出197.1万元，与上年决算相比增加197.1万元，主要是机关事业单位基本养老保险缴费支出。</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3、医疗卫生与计划生育支出169.5万元，与上年决算相比增加6.8万元，主要用于行政单位医疗和公务员医疗补助。</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行政单位医疗开支110.5万元，主要用于在职人员的医保等保险缴费。</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四、关于</w:t>
      </w:r>
      <w:r>
        <w:rPr>
          <w:rFonts w:hint="eastAsia" w:ascii="楷体_GB2312" w:hAnsi="宋体" w:eastAsia="楷体_GB2312"/>
          <w:b/>
          <w:sz w:val="30"/>
          <w:szCs w:val="30"/>
        </w:rPr>
        <w:t>天津海法院</w:t>
      </w:r>
      <w:r>
        <w:rPr>
          <w:rFonts w:hint="eastAsia" w:ascii="楷体_GB2312" w:eastAsia="楷体_GB2312"/>
          <w:b/>
          <w:sz w:val="30"/>
          <w:szCs w:val="30"/>
        </w:rPr>
        <w:t>2017年度部门决算一般公共预算财政拨款基本支出情况说明</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天津海事法院2017年度部门决算一般公共预算财政拨款基本支出总计3473.8万元，具体情况如下：</w:t>
      </w:r>
    </w:p>
    <w:p>
      <w:pPr>
        <w:spacing w:line="580" w:lineRule="exact"/>
        <w:ind w:firstLine="602" w:firstLineChars="200"/>
        <w:rPr>
          <w:rFonts w:ascii="仿宋" w:hAnsi="仿宋" w:eastAsia="仿宋"/>
          <w:b/>
          <w:sz w:val="30"/>
          <w:szCs w:val="30"/>
        </w:rPr>
      </w:pPr>
      <w:r>
        <w:rPr>
          <w:rFonts w:hint="eastAsia" w:ascii="仿宋" w:hAnsi="仿宋" w:eastAsia="仿宋"/>
          <w:b/>
          <w:sz w:val="30"/>
          <w:szCs w:val="30"/>
        </w:rPr>
        <w:t>1、工资福利支出 1947.2 万元，其中：</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基本工资 398.8 万元，主要用于：在职人员工资中的职务和级别工资。</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津贴补贴 933.2万元，主要用于：在职人员除基本工资外的各种规范性补贴和未休假补贴等。</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奖金254.6万元，主要用于年末奖励工资和市级级效工资。</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其他保障性缴费108.5万元，主要用于在职人员医保等保险缴费。</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机关事业单位基本养老保险缴费197.1万元，主要用于在职人员基本养老金保险缴费。</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其他工资福利支出55万元，主要用于2016年10月至2016年12月份法院系统绩效工资。</w:t>
      </w:r>
    </w:p>
    <w:p>
      <w:pPr>
        <w:spacing w:line="580" w:lineRule="exact"/>
        <w:ind w:firstLine="602" w:firstLineChars="200"/>
        <w:rPr>
          <w:rFonts w:ascii="仿宋" w:hAnsi="仿宋" w:eastAsia="仿宋"/>
          <w:b/>
          <w:sz w:val="30"/>
          <w:szCs w:val="30"/>
        </w:rPr>
      </w:pPr>
      <w:r>
        <w:rPr>
          <w:rFonts w:hint="eastAsia" w:ascii="仿宋" w:hAnsi="仿宋" w:eastAsia="仿宋"/>
          <w:b/>
          <w:sz w:val="30"/>
          <w:szCs w:val="30"/>
        </w:rPr>
        <w:t>2、商品和服务支出646万元，其中：</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办公费22.6万元，主要用于单位日常办公用品和书报杂志等。</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印刷费0.7万元，主要用于单位理论学习本的开支等。</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手续费0.2万元，主要用于单位银行方面的手续费开支。</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水费7.8万元，主要用于单位和秦皇岛派出庭等的日常水费开支。</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电费94.5万元，主要用于单位和秦皇岛派出庭等的日常电费开支。</w:t>
      </w:r>
    </w:p>
    <w:p>
      <w:pPr>
        <w:spacing w:line="580" w:lineRule="exact"/>
        <w:ind w:firstLine="600" w:firstLineChars="200"/>
        <w:rPr>
          <w:rFonts w:ascii="仿宋_GB2312" w:eastAsia="仿宋_GB2312"/>
          <w:sz w:val="30"/>
          <w:szCs w:val="30"/>
        </w:rPr>
      </w:pPr>
      <w:r>
        <w:rPr>
          <w:rFonts w:hint="eastAsia" w:ascii="仿宋" w:hAnsi="仿宋" w:eastAsia="仿宋"/>
          <w:sz w:val="30"/>
          <w:szCs w:val="30"/>
        </w:rPr>
        <w:t>邮电费9.2万元，主要用于单位的邮寄费、电话通讯费和网络通讯费等</w:t>
      </w:r>
      <w:r>
        <w:rPr>
          <w:rFonts w:hint="eastAsia" w:ascii="仿宋_GB2312" w:eastAsia="仿宋_GB2312"/>
          <w:sz w:val="30"/>
          <w:szCs w:val="30"/>
        </w:rPr>
        <w:t>。</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取暖费26.4万元，主要用于单位的冬季集中供暖开支。</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物业管理费103.3万元，主要用于单位物业（保洁和维修）和保安的服务费开支。</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差旅费10万元，主要用于在职人员因公外出的城市间交通费、住宿费、出差补助费、市内交通费和其它等。</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维修（护）费28.4万元，主要用于单位固定资产的日常维修费用、网络信息系统运维费等开支。</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培训费4.8万元，主要用于在职人员在外各种培训开支。</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公务接待费0.3万元，主要用于上级和地方调研的招待开支。</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劳务费46.3万元，主要用于合同制职工人员的工资和各种保险。</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工会经费20.3万元，主要用于按规定计提费用。</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福利费27.7万元，主要用于按规定计提费用。</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公务用车运行维护费43.8万元，主要用于单位在编公务用车和执法执勤车辆的车燃料、存车通行费、车辆保险、车辆维修等。</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其它交通费用97.2万元，主要用于车改后的公务交通补贴。</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其它商品和服务支出102.5万元，主要用于单位租车开支、驻村工作组及对口帮扶开支、康菲案件和陪审员补助等办案各项开支。</w:t>
      </w:r>
    </w:p>
    <w:p>
      <w:pPr>
        <w:spacing w:line="580" w:lineRule="exact"/>
        <w:ind w:firstLine="602" w:firstLineChars="200"/>
        <w:rPr>
          <w:rFonts w:ascii="仿宋" w:hAnsi="仿宋" w:eastAsia="仿宋"/>
          <w:b/>
          <w:sz w:val="30"/>
          <w:szCs w:val="30"/>
        </w:rPr>
      </w:pPr>
      <w:r>
        <w:rPr>
          <w:rFonts w:hint="eastAsia" w:ascii="仿宋" w:hAnsi="仿宋" w:eastAsia="仿宋"/>
          <w:b/>
          <w:sz w:val="30"/>
          <w:szCs w:val="30"/>
        </w:rPr>
        <w:t>3、对个人和家庭补助支出880.6万元，其中：</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离休费12.5万元，主要用于单位1名离休人员的工资。</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退休费28.8万元，主要用于补发移交至社保分中心的退休人员2015年的补贴和单位负担的补贴。</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生活补助1.3万元，主要用于1名遗属的生活补贴。</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医疗费61万元，主要用于公务员医疗补助和离休人员医疗费。</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奖励金0.3万元，主要用于独生子女父母奖励金。</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住房公积金646.6万元，主要用于在职人员的公积金、补充公积金和按月住房补贴。</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采暖补贴24.3万元，主要用于在职人员、离休人员和移交社保分中心退休人员按月发放的补贴。</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物业服务补贴29.9万元，主要用于职人员、离休人员和移交社保分中心退休人员按月发放的补贴。</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其他对个人和家庭的补助支出75.9万元，主要用于在职人员的通讯补贴和上下班补贴。</w:t>
      </w:r>
    </w:p>
    <w:p>
      <w:pPr>
        <w:spacing w:line="580" w:lineRule="exact"/>
        <w:ind w:firstLine="600"/>
        <w:rPr>
          <w:rFonts w:ascii="楷体_GB2312" w:eastAsia="楷体_GB2312"/>
          <w:b/>
          <w:sz w:val="30"/>
          <w:szCs w:val="30"/>
        </w:rPr>
      </w:pPr>
      <w:r>
        <w:rPr>
          <w:rFonts w:hint="eastAsia" w:ascii="楷体_GB2312" w:eastAsia="楷体_GB2312"/>
          <w:b/>
          <w:sz w:val="30"/>
          <w:szCs w:val="30"/>
        </w:rPr>
        <w:t>五、关于天津海事法院2017年度机关运行经费决算数</w:t>
      </w:r>
    </w:p>
    <w:p>
      <w:pPr>
        <w:spacing w:line="580" w:lineRule="exact"/>
        <w:ind w:firstLine="600"/>
        <w:rPr>
          <w:rFonts w:ascii="仿宋" w:hAnsi="仿宋" w:eastAsia="仿宋"/>
          <w:sz w:val="30"/>
          <w:szCs w:val="30"/>
        </w:rPr>
      </w:pPr>
      <w:r>
        <w:rPr>
          <w:rFonts w:hint="eastAsia" w:ascii="仿宋" w:hAnsi="仿宋" w:eastAsia="仿宋"/>
          <w:sz w:val="30"/>
          <w:szCs w:val="30"/>
        </w:rPr>
        <w:t>机关运行经费是指行政单位和参照公务员法管理的事业单位使用一般公共预算财政拨款安排的基本支出中的日常公用经费支出，天津海事法院2017年度机关运行经费决算数646万元，比2016年减少 102.7万元，降低13.72%。主要原因是严格制度，加强管理，尤其是对“三公”经费、差旅费、培训费和日常维修等易超难管理经费的管理，同时对有限的经费节约使用。</w:t>
      </w:r>
    </w:p>
    <w:p>
      <w:pPr>
        <w:spacing w:line="580" w:lineRule="exact"/>
        <w:ind w:firstLine="602" w:firstLineChars="200"/>
        <w:rPr>
          <w:rFonts w:ascii="楷体_GB2312" w:eastAsia="楷体_GB2312"/>
          <w:b/>
          <w:sz w:val="30"/>
          <w:szCs w:val="30"/>
        </w:rPr>
      </w:pPr>
      <w:r>
        <w:rPr>
          <w:rFonts w:hint="eastAsia" w:ascii="楷体_GB2312" w:eastAsia="楷体_GB2312"/>
          <w:b/>
          <w:sz w:val="30"/>
          <w:szCs w:val="30"/>
        </w:rPr>
        <w:t>六、关于</w:t>
      </w:r>
      <w:r>
        <w:rPr>
          <w:rFonts w:hint="eastAsia" w:ascii="楷体_GB2312" w:hAnsi="宋体" w:eastAsia="楷体_GB2312"/>
          <w:b/>
          <w:sz w:val="30"/>
          <w:szCs w:val="30"/>
        </w:rPr>
        <w:t>天津海事法院</w:t>
      </w:r>
      <w:r>
        <w:rPr>
          <w:rFonts w:hint="eastAsia" w:ascii="楷体_GB2312" w:eastAsia="楷体_GB2312"/>
          <w:b/>
          <w:sz w:val="30"/>
          <w:szCs w:val="30"/>
        </w:rPr>
        <w:t>2017年度部门决算政府性基金预算财政拨款收入支出情况说明</w:t>
      </w:r>
    </w:p>
    <w:p>
      <w:pPr>
        <w:spacing w:line="580" w:lineRule="exact"/>
        <w:ind w:firstLine="600" w:firstLineChars="200"/>
        <w:rPr>
          <w:rFonts w:ascii="仿宋" w:hAnsi="仿宋" w:eastAsia="仿宋"/>
          <w:sz w:val="30"/>
          <w:szCs w:val="30"/>
        </w:rPr>
      </w:pPr>
      <w:r>
        <w:rPr>
          <w:rFonts w:hint="eastAsia" w:ascii="仿宋" w:hAnsi="仿宋" w:eastAsia="仿宋"/>
          <w:sz w:val="30"/>
          <w:szCs w:val="30"/>
        </w:rPr>
        <w:t>天津海事法院2017年度无政府性基金预算财政拨款收入、支出和结转结余。</w:t>
      </w:r>
    </w:p>
    <w:p>
      <w:pPr>
        <w:spacing w:line="580" w:lineRule="exact"/>
        <w:ind w:firstLine="602" w:firstLineChars="200"/>
        <w:rPr>
          <w:rFonts w:ascii="楷体_GB2312" w:eastAsia="楷体_GB2312"/>
        </w:rPr>
      </w:pPr>
      <w:r>
        <w:rPr>
          <w:rFonts w:hint="eastAsia" w:ascii="楷体_GB2312" w:hAnsi="宋体" w:eastAsia="楷体_GB2312" w:cs="楷体"/>
          <w:b/>
          <w:bCs/>
          <w:color w:val="000000"/>
          <w:sz w:val="30"/>
          <w:szCs w:val="30"/>
        </w:rPr>
        <w:t>七、关于</w:t>
      </w:r>
      <w:r>
        <w:rPr>
          <w:rFonts w:hint="eastAsia" w:ascii="楷体_GB2312" w:eastAsia="楷体_GB2312"/>
          <w:b/>
          <w:sz w:val="30"/>
          <w:szCs w:val="30"/>
        </w:rPr>
        <w:t>天津海法院2017年度</w:t>
      </w:r>
      <w:r>
        <w:rPr>
          <w:rFonts w:hint="eastAsia" w:ascii="楷体_GB2312" w:hAnsi="宋体" w:eastAsia="楷体_GB2312" w:cs="楷体"/>
          <w:b/>
          <w:bCs/>
          <w:color w:val="000000"/>
          <w:sz w:val="30"/>
          <w:szCs w:val="30"/>
        </w:rPr>
        <w:t>政府采购情况</w:t>
      </w:r>
    </w:p>
    <w:p>
      <w:pPr>
        <w:spacing w:line="580" w:lineRule="exact"/>
        <w:ind w:firstLine="600" w:firstLineChars="200"/>
        <w:rPr>
          <w:rFonts w:ascii="仿宋" w:hAnsi="仿宋" w:eastAsia="仿宋" w:cs="仿宋_GB2312"/>
          <w:color w:val="000000"/>
          <w:sz w:val="30"/>
          <w:szCs w:val="30"/>
        </w:rPr>
      </w:pPr>
      <w:r>
        <w:rPr>
          <w:rFonts w:hint="eastAsia" w:ascii="仿宋" w:hAnsi="仿宋" w:eastAsia="仿宋" w:cs="仿宋_GB2312"/>
          <w:color w:val="000000"/>
          <w:sz w:val="30"/>
          <w:szCs w:val="30"/>
        </w:rPr>
        <w:t>2017年本部门政府采购支出总额</w:t>
      </w:r>
      <w:r>
        <w:rPr>
          <w:rFonts w:hint="eastAsia" w:ascii="仿宋" w:hAnsi="仿宋" w:eastAsia="仿宋"/>
          <w:sz w:val="30"/>
          <w:szCs w:val="30"/>
        </w:rPr>
        <w:t>264</w:t>
      </w:r>
      <w:r>
        <w:rPr>
          <w:rFonts w:hint="eastAsia" w:ascii="仿宋" w:hAnsi="仿宋" w:eastAsia="仿宋" w:cs="仿宋_GB2312"/>
          <w:color w:val="000000"/>
          <w:sz w:val="30"/>
          <w:szCs w:val="30"/>
        </w:rPr>
        <w:t>万元，其中：政府采购货物支出</w:t>
      </w:r>
      <w:r>
        <w:rPr>
          <w:rFonts w:hint="eastAsia" w:ascii="仿宋" w:hAnsi="仿宋" w:eastAsia="仿宋"/>
          <w:sz w:val="30"/>
          <w:szCs w:val="30"/>
        </w:rPr>
        <w:t>121.2</w:t>
      </w:r>
      <w:r>
        <w:rPr>
          <w:rFonts w:hint="eastAsia" w:ascii="仿宋" w:hAnsi="仿宋" w:eastAsia="仿宋" w:cs="仿宋_GB2312"/>
          <w:color w:val="000000"/>
          <w:sz w:val="30"/>
          <w:szCs w:val="30"/>
        </w:rPr>
        <w:t>万元、政府采购服务支出</w:t>
      </w:r>
      <w:r>
        <w:rPr>
          <w:rFonts w:hint="eastAsia" w:ascii="仿宋" w:hAnsi="仿宋" w:eastAsia="仿宋"/>
          <w:sz w:val="30"/>
          <w:szCs w:val="30"/>
        </w:rPr>
        <w:t>142.8</w:t>
      </w:r>
      <w:r>
        <w:rPr>
          <w:rFonts w:hint="eastAsia" w:ascii="仿宋" w:hAnsi="仿宋" w:eastAsia="仿宋" w:cs="仿宋_GB2312"/>
          <w:color w:val="000000"/>
          <w:sz w:val="30"/>
          <w:szCs w:val="30"/>
        </w:rPr>
        <w:t>万元。</w:t>
      </w:r>
    </w:p>
    <w:p>
      <w:pPr>
        <w:spacing w:line="580" w:lineRule="exact"/>
        <w:ind w:firstLine="602" w:firstLineChars="200"/>
        <w:rPr>
          <w:rFonts w:ascii="楷体_GB2312" w:eastAsia="楷体_GB2312"/>
        </w:rPr>
      </w:pPr>
      <w:r>
        <w:rPr>
          <w:rFonts w:hint="eastAsia" w:ascii="楷体_GB2312" w:hAnsi="宋体" w:eastAsia="楷体_GB2312" w:cs="楷体"/>
          <w:b/>
          <w:bCs/>
          <w:color w:val="000000"/>
          <w:sz w:val="30"/>
          <w:szCs w:val="30"/>
        </w:rPr>
        <w:t>八、关于</w:t>
      </w:r>
      <w:r>
        <w:rPr>
          <w:rFonts w:hint="eastAsia" w:ascii="楷体_GB2312" w:eastAsia="楷体_GB2312"/>
          <w:b/>
          <w:sz w:val="30"/>
          <w:szCs w:val="30"/>
        </w:rPr>
        <w:t>天津海事法院2017年度</w:t>
      </w:r>
      <w:r>
        <w:rPr>
          <w:rFonts w:hint="eastAsia" w:ascii="楷体_GB2312" w:hAnsi="宋体" w:eastAsia="楷体_GB2312" w:cs="楷体"/>
          <w:b/>
          <w:bCs/>
          <w:color w:val="000000"/>
          <w:sz w:val="30"/>
          <w:szCs w:val="30"/>
        </w:rPr>
        <w:t>预算绩效情况</w:t>
      </w:r>
    </w:p>
    <w:p>
      <w:pPr>
        <w:spacing w:line="580" w:lineRule="exact"/>
        <w:ind w:firstLine="600" w:firstLineChars="200"/>
        <w:rPr>
          <w:rFonts w:ascii="仿宋" w:hAnsi="仿宋" w:eastAsia="仿宋" w:cs="仿宋_GB2312"/>
          <w:color w:val="000000"/>
          <w:sz w:val="30"/>
          <w:szCs w:val="30"/>
        </w:rPr>
      </w:pPr>
      <w:r>
        <w:rPr>
          <w:rFonts w:hint="eastAsia" w:ascii="仿宋" w:hAnsi="仿宋" w:eastAsia="仿宋"/>
          <w:sz w:val="30"/>
          <w:szCs w:val="30"/>
        </w:rPr>
        <w:t>天津海事法院2017年度</w:t>
      </w:r>
      <w:r>
        <w:rPr>
          <w:rFonts w:hint="eastAsia" w:ascii="仿宋" w:hAnsi="仿宋" w:eastAsia="仿宋"/>
          <w:sz w:val="30"/>
          <w:szCs w:val="30"/>
          <w:lang w:val="en-US" w:eastAsia="zh-CN"/>
        </w:rPr>
        <w:t>实行绩效目标管理的项目1个，涉及预算金额664.6万元；纳入绩效评价的项目0个，涉及预算金额0万元</w:t>
      </w:r>
      <w:bookmarkStart w:id="0" w:name="_GoBack"/>
      <w:bookmarkEnd w:id="0"/>
      <w:r>
        <w:rPr>
          <w:rFonts w:hint="eastAsia" w:ascii="仿宋" w:hAnsi="仿宋" w:eastAsia="仿宋"/>
          <w:sz w:val="30"/>
          <w:szCs w:val="30"/>
        </w:rPr>
        <w:t>。</w:t>
      </w:r>
    </w:p>
    <w:p>
      <w:pPr>
        <w:spacing w:line="580" w:lineRule="exact"/>
        <w:ind w:firstLine="602" w:firstLineChars="200"/>
        <w:rPr>
          <w:rFonts w:ascii="楷体_GB2312" w:eastAsia="楷体_GB2312"/>
        </w:rPr>
      </w:pPr>
      <w:r>
        <w:rPr>
          <w:rFonts w:hint="eastAsia" w:ascii="楷体_GB2312" w:hAnsi="宋体" w:eastAsia="楷体_GB2312" w:cs="楷体"/>
          <w:b/>
          <w:bCs/>
          <w:color w:val="000000"/>
          <w:sz w:val="30"/>
          <w:szCs w:val="30"/>
        </w:rPr>
        <w:t>九、关于</w:t>
      </w:r>
      <w:r>
        <w:rPr>
          <w:rFonts w:hint="eastAsia" w:ascii="楷体_GB2312" w:eastAsia="楷体_GB2312"/>
          <w:b/>
          <w:sz w:val="30"/>
          <w:szCs w:val="30"/>
        </w:rPr>
        <w:t>天津海事法院2017年度</w:t>
      </w:r>
      <w:r>
        <w:rPr>
          <w:rFonts w:hint="eastAsia" w:ascii="楷体_GB2312" w:hAnsi="宋体" w:eastAsia="楷体_GB2312" w:cs="楷体"/>
          <w:b/>
          <w:bCs/>
          <w:color w:val="000000"/>
          <w:sz w:val="30"/>
          <w:szCs w:val="30"/>
        </w:rPr>
        <w:t>国有资产占有使用情况</w:t>
      </w:r>
    </w:p>
    <w:p>
      <w:pPr>
        <w:spacing w:line="580" w:lineRule="exact"/>
        <w:ind w:firstLine="600" w:firstLineChars="200"/>
        <w:jc w:val="both"/>
        <w:rPr>
          <w:rFonts w:ascii="仿宋" w:hAnsi="仿宋" w:eastAsia="仿宋" w:cs="仿宋_GB2312"/>
          <w:color w:val="000000"/>
          <w:sz w:val="30"/>
          <w:szCs w:val="30"/>
        </w:rPr>
      </w:pPr>
      <w:r>
        <w:rPr>
          <w:rFonts w:hint="eastAsia" w:ascii="仿宋" w:hAnsi="仿宋" w:eastAsia="仿宋" w:cs="仿宋_GB2312"/>
          <w:color w:val="000000"/>
          <w:sz w:val="30"/>
          <w:szCs w:val="30"/>
        </w:rPr>
        <w:t>截至2017年</w:t>
      </w:r>
      <w:r>
        <w:rPr>
          <w:rFonts w:ascii="仿宋" w:hAnsi="仿宋" w:eastAsia="仿宋" w:cs="仿宋_GB2312"/>
          <w:color w:val="000000"/>
          <w:sz w:val="30"/>
          <w:szCs w:val="30"/>
        </w:rPr>
        <w:t>12</w:t>
      </w:r>
      <w:r>
        <w:rPr>
          <w:rFonts w:hint="eastAsia" w:ascii="仿宋" w:hAnsi="仿宋" w:eastAsia="仿宋" w:cs="仿宋_GB2312"/>
          <w:color w:val="000000"/>
          <w:sz w:val="30"/>
          <w:szCs w:val="30"/>
        </w:rPr>
        <w:t>月</w:t>
      </w:r>
      <w:r>
        <w:rPr>
          <w:rFonts w:ascii="仿宋" w:hAnsi="仿宋" w:eastAsia="仿宋" w:cs="仿宋_GB2312"/>
          <w:color w:val="000000"/>
          <w:sz w:val="30"/>
          <w:szCs w:val="30"/>
        </w:rPr>
        <w:t>31</w:t>
      </w:r>
      <w:r>
        <w:rPr>
          <w:rFonts w:hint="eastAsia" w:ascii="仿宋" w:hAnsi="仿宋" w:eastAsia="仿宋" w:cs="仿宋_GB2312"/>
          <w:color w:val="000000"/>
          <w:sz w:val="30"/>
          <w:szCs w:val="30"/>
        </w:rPr>
        <w:t>日，</w:t>
      </w:r>
      <w:r>
        <w:rPr>
          <w:rFonts w:hint="eastAsia" w:ascii="仿宋" w:hAnsi="仿宋" w:eastAsia="仿宋"/>
          <w:sz w:val="30"/>
          <w:szCs w:val="30"/>
        </w:rPr>
        <w:t>天津海事法院</w:t>
      </w:r>
      <w:r>
        <w:rPr>
          <w:rFonts w:hint="eastAsia" w:ascii="仿宋" w:hAnsi="仿宋" w:eastAsia="仿宋" w:cs="仿宋_GB2312"/>
          <w:color w:val="000000"/>
          <w:sz w:val="30"/>
          <w:szCs w:val="30"/>
        </w:rPr>
        <w:t>共有车辆</w:t>
      </w:r>
      <w:r>
        <w:rPr>
          <w:rFonts w:hint="eastAsia" w:ascii="仿宋" w:hAnsi="仿宋" w:eastAsia="仿宋"/>
          <w:sz w:val="30"/>
          <w:szCs w:val="30"/>
        </w:rPr>
        <w:t>16</w:t>
      </w:r>
      <w:r>
        <w:rPr>
          <w:rFonts w:hint="eastAsia" w:ascii="仿宋" w:hAnsi="仿宋" w:eastAsia="仿宋" w:cs="仿宋_GB2312"/>
          <w:color w:val="000000"/>
          <w:sz w:val="30"/>
          <w:szCs w:val="30"/>
        </w:rPr>
        <w:t>辆，其中：一般公务用车</w:t>
      </w:r>
      <w:r>
        <w:rPr>
          <w:rFonts w:hint="eastAsia" w:ascii="仿宋" w:hAnsi="仿宋" w:eastAsia="仿宋"/>
          <w:sz w:val="30"/>
          <w:szCs w:val="30"/>
        </w:rPr>
        <w:t>4</w:t>
      </w:r>
      <w:r>
        <w:rPr>
          <w:rFonts w:hint="eastAsia" w:ascii="仿宋" w:hAnsi="仿宋" w:eastAsia="仿宋" w:cs="仿宋_GB2312"/>
          <w:color w:val="000000"/>
          <w:sz w:val="30"/>
          <w:szCs w:val="30"/>
        </w:rPr>
        <w:t>辆、一般执法执勤用车</w:t>
      </w:r>
      <w:r>
        <w:rPr>
          <w:rFonts w:hint="eastAsia" w:ascii="仿宋" w:hAnsi="仿宋" w:eastAsia="仿宋"/>
          <w:sz w:val="30"/>
          <w:szCs w:val="30"/>
        </w:rPr>
        <w:t>12</w:t>
      </w:r>
      <w:r>
        <w:rPr>
          <w:rFonts w:hint="eastAsia" w:ascii="仿宋" w:hAnsi="仿宋" w:eastAsia="仿宋" w:cs="仿宋_GB2312"/>
          <w:color w:val="000000"/>
          <w:sz w:val="30"/>
          <w:szCs w:val="30"/>
        </w:rPr>
        <w:t>辆。</w:t>
      </w:r>
    </w:p>
    <w:p>
      <w:pPr>
        <w:spacing w:line="580" w:lineRule="exact"/>
        <w:ind w:firstLine="600" w:firstLineChars="200"/>
        <w:jc w:val="center"/>
        <w:rPr>
          <w:rFonts w:ascii="仿宋" w:hAnsi="仿宋" w:eastAsia="仿宋"/>
          <w:sz w:val="30"/>
          <w:szCs w:val="30"/>
        </w:rPr>
      </w:pPr>
    </w:p>
    <w:p>
      <w:pPr>
        <w:spacing w:line="580" w:lineRule="exact"/>
        <w:ind w:firstLine="600" w:firstLineChars="200"/>
        <w:jc w:val="center"/>
        <w:rPr>
          <w:rFonts w:ascii="黑体" w:hAnsi="黑体" w:eastAsia="黑体"/>
          <w:sz w:val="30"/>
          <w:szCs w:val="30"/>
        </w:rPr>
      </w:pPr>
      <w:r>
        <w:rPr>
          <w:rFonts w:hint="eastAsia" w:ascii="黑体" w:hAnsi="黑体" w:eastAsia="黑体"/>
          <w:sz w:val="30"/>
          <w:szCs w:val="30"/>
        </w:rPr>
        <w:t>第三部分  专业名词解释</w:t>
      </w:r>
    </w:p>
    <w:p>
      <w:pPr>
        <w:spacing w:line="580" w:lineRule="exact"/>
        <w:ind w:firstLine="600" w:firstLineChars="200"/>
        <w:rPr>
          <w:rFonts w:ascii="仿宋_GB2312" w:eastAsia="仿宋_GB2312"/>
          <w:sz w:val="30"/>
          <w:szCs w:val="30"/>
        </w:rPr>
      </w:pPr>
    </w:p>
    <w:p>
      <w:pPr>
        <w:spacing w:line="580" w:lineRule="exact"/>
        <w:ind w:firstLine="600" w:firstLineChars="200"/>
        <w:rPr>
          <w:rFonts w:ascii="仿宋" w:hAnsi="仿宋" w:eastAsia="仿宋"/>
          <w:sz w:val="30"/>
          <w:szCs w:val="30"/>
        </w:rPr>
      </w:pPr>
      <w:r>
        <w:rPr>
          <w:rFonts w:hint="eastAsia" w:ascii="仿宋" w:hAnsi="仿宋" w:eastAsia="仿宋"/>
          <w:sz w:val="30"/>
          <w:szCs w:val="30"/>
        </w:rPr>
        <w:t>部门决算。是指行政事业单位在年度终了，根据财政部门决算编审要求，在日常会计核算的基础上编制的、综合反映本单位预算执行结果和财务状况的总结性文件。</w:t>
      </w:r>
    </w:p>
    <w:p>
      <w:pPr>
        <w:spacing w:line="580" w:lineRule="exact"/>
        <w:ind w:firstLine="600" w:firstLineChars="200"/>
        <w:rPr>
          <w:rFonts w:ascii="仿宋" w:hAnsi="仿宋" w:eastAsia="仿宋"/>
          <w:sz w:val="30"/>
          <w:szCs w:val="30"/>
        </w:rPr>
      </w:pPr>
    </w:p>
    <w:p>
      <w:pPr>
        <w:spacing w:line="580" w:lineRule="exact"/>
        <w:ind w:firstLine="600" w:firstLineChars="200"/>
        <w:rPr>
          <w:rFonts w:ascii="仿宋_GB2312" w:eastAsia="仿宋_GB2312"/>
          <w:sz w:val="30"/>
          <w:szCs w:val="30"/>
        </w:rPr>
      </w:pPr>
    </w:p>
    <w:p>
      <w:pPr>
        <w:spacing w:line="580" w:lineRule="exact"/>
        <w:ind w:firstLine="600" w:firstLineChars="200"/>
        <w:rPr>
          <w:rFonts w:ascii="仿宋_GB2312" w:eastAsia="仿宋_GB2312"/>
          <w:sz w:val="30"/>
          <w:szCs w:val="30"/>
        </w:rPr>
      </w:pPr>
    </w:p>
    <w:p>
      <w:pPr>
        <w:spacing w:line="580" w:lineRule="exact"/>
        <w:ind w:firstLine="600" w:firstLineChars="200"/>
        <w:rPr>
          <w:rFonts w:ascii="仿宋_GB2312" w:eastAsia="仿宋_GB2312"/>
          <w:sz w:val="30"/>
          <w:szCs w:val="30"/>
        </w:rPr>
      </w:pPr>
    </w:p>
    <w:sectPr>
      <w:head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rsids>
    <w:rsidRoot w:val="11D802DB"/>
    <w:rsid w:val="00007891"/>
    <w:rsid w:val="0001105A"/>
    <w:rsid w:val="00063FEF"/>
    <w:rsid w:val="000840F9"/>
    <w:rsid w:val="000864BF"/>
    <w:rsid w:val="0009724F"/>
    <w:rsid w:val="000B4E39"/>
    <w:rsid w:val="000E21D8"/>
    <w:rsid w:val="00141335"/>
    <w:rsid w:val="00150ACF"/>
    <w:rsid w:val="001546B8"/>
    <w:rsid w:val="001E16D1"/>
    <w:rsid w:val="001E3640"/>
    <w:rsid w:val="001E5D90"/>
    <w:rsid w:val="00210F30"/>
    <w:rsid w:val="002200AD"/>
    <w:rsid w:val="00231E58"/>
    <w:rsid w:val="0029749E"/>
    <w:rsid w:val="003136E6"/>
    <w:rsid w:val="003174BF"/>
    <w:rsid w:val="003206D6"/>
    <w:rsid w:val="00353881"/>
    <w:rsid w:val="003A40A4"/>
    <w:rsid w:val="00423E01"/>
    <w:rsid w:val="004332EF"/>
    <w:rsid w:val="00441DE4"/>
    <w:rsid w:val="00450082"/>
    <w:rsid w:val="004620E7"/>
    <w:rsid w:val="00465602"/>
    <w:rsid w:val="004778AE"/>
    <w:rsid w:val="004A1361"/>
    <w:rsid w:val="004A1A68"/>
    <w:rsid w:val="004C2E2D"/>
    <w:rsid w:val="004D4C0A"/>
    <w:rsid w:val="004F429C"/>
    <w:rsid w:val="004F6333"/>
    <w:rsid w:val="0054240D"/>
    <w:rsid w:val="0057115D"/>
    <w:rsid w:val="005F2DDB"/>
    <w:rsid w:val="006D7623"/>
    <w:rsid w:val="00756D9A"/>
    <w:rsid w:val="00757107"/>
    <w:rsid w:val="007B0B7D"/>
    <w:rsid w:val="007C3AC3"/>
    <w:rsid w:val="007C426B"/>
    <w:rsid w:val="007F448B"/>
    <w:rsid w:val="00820AED"/>
    <w:rsid w:val="00834270"/>
    <w:rsid w:val="0083570C"/>
    <w:rsid w:val="008419D8"/>
    <w:rsid w:val="00841C1F"/>
    <w:rsid w:val="00847429"/>
    <w:rsid w:val="00861CBA"/>
    <w:rsid w:val="00883E4A"/>
    <w:rsid w:val="00887EAF"/>
    <w:rsid w:val="008A053F"/>
    <w:rsid w:val="008C6226"/>
    <w:rsid w:val="008D64CE"/>
    <w:rsid w:val="008F3C42"/>
    <w:rsid w:val="00931122"/>
    <w:rsid w:val="009578AA"/>
    <w:rsid w:val="0098387F"/>
    <w:rsid w:val="009C25C2"/>
    <w:rsid w:val="009E0EF5"/>
    <w:rsid w:val="00A001D6"/>
    <w:rsid w:val="00A12C57"/>
    <w:rsid w:val="00A249BC"/>
    <w:rsid w:val="00A31909"/>
    <w:rsid w:val="00A40F00"/>
    <w:rsid w:val="00A52141"/>
    <w:rsid w:val="00A565AB"/>
    <w:rsid w:val="00A63D00"/>
    <w:rsid w:val="00AA676A"/>
    <w:rsid w:val="00AF640E"/>
    <w:rsid w:val="00B0190A"/>
    <w:rsid w:val="00B34F76"/>
    <w:rsid w:val="00B553DE"/>
    <w:rsid w:val="00B85BD0"/>
    <w:rsid w:val="00B9010C"/>
    <w:rsid w:val="00BA2B02"/>
    <w:rsid w:val="00BB6138"/>
    <w:rsid w:val="00BC63A3"/>
    <w:rsid w:val="00BD3128"/>
    <w:rsid w:val="00BE68C2"/>
    <w:rsid w:val="00C20F66"/>
    <w:rsid w:val="00C26A5B"/>
    <w:rsid w:val="00C30BB8"/>
    <w:rsid w:val="00C47864"/>
    <w:rsid w:val="00C53602"/>
    <w:rsid w:val="00C57C0C"/>
    <w:rsid w:val="00C77332"/>
    <w:rsid w:val="00C83F29"/>
    <w:rsid w:val="00C846C4"/>
    <w:rsid w:val="00C97607"/>
    <w:rsid w:val="00CB79C4"/>
    <w:rsid w:val="00CD33AE"/>
    <w:rsid w:val="00CE392C"/>
    <w:rsid w:val="00CE7A0E"/>
    <w:rsid w:val="00D36F4A"/>
    <w:rsid w:val="00DC5E8B"/>
    <w:rsid w:val="00DE0FC6"/>
    <w:rsid w:val="00E414DE"/>
    <w:rsid w:val="00E8795B"/>
    <w:rsid w:val="00EA3A71"/>
    <w:rsid w:val="00EB4C18"/>
    <w:rsid w:val="00EB7B3B"/>
    <w:rsid w:val="00EC0E7F"/>
    <w:rsid w:val="00F00CC6"/>
    <w:rsid w:val="00F06609"/>
    <w:rsid w:val="00F3454D"/>
    <w:rsid w:val="00F3737B"/>
    <w:rsid w:val="00F952D2"/>
    <w:rsid w:val="00FC23A6"/>
    <w:rsid w:val="00FD75C2"/>
    <w:rsid w:val="00FF494F"/>
    <w:rsid w:val="01582EB3"/>
    <w:rsid w:val="032B2B72"/>
    <w:rsid w:val="03633F1C"/>
    <w:rsid w:val="03877CF5"/>
    <w:rsid w:val="04DA6E85"/>
    <w:rsid w:val="059D199E"/>
    <w:rsid w:val="068D56CD"/>
    <w:rsid w:val="0750320D"/>
    <w:rsid w:val="09CD6F6A"/>
    <w:rsid w:val="0ABD2EA9"/>
    <w:rsid w:val="0B0C0657"/>
    <w:rsid w:val="0BF51CAC"/>
    <w:rsid w:val="0DCA24E7"/>
    <w:rsid w:val="11D802DB"/>
    <w:rsid w:val="122B009F"/>
    <w:rsid w:val="149264E6"/>
    <w:rsid w:val="15127621"/>
    <w:rsid w:val="156A2C3E"/>
    <w:rsid w:val="157A3189"/>
    <w:rsid w:val="1B0B6786"/>
    <w:rsid w:val="1C2E1750"/>
    <w:rsid w:val="1DA340AC"/>
    <w:rsid w:val="1E8146FC"/>
    <w:rsid w:val="1F6101B7"/>
    <w:rsid w:val="236906A5"/>
    <w:rsid w:val="25AD749C"/>
    <w:rsid w:val="25AE4162"/>
    <w:rsid w:val="28994B2A"/>
    <w:rsid w:val="28CD1B01"/>
    <w:rsid w:val="290441D9"/>
    <w:rsid w:val="2D2B1A30"/>
    <w:rsid w:val="2E6455AA"/>
    <w:rsid w:val="2E6E5875"/>
    <w:rsid w:val="2FFD4B55"/>
    <w:rsid w:val="32500429"/>
    <w:rsid w:val="33987EA4"/>
    <w:rsid w:val="33E55770"/>
    <w:rsid w:val="35F83418"/>
    <w:rsid w:val="36433E0B"/>
    <w:rsid w:val="36DF7E92"/>
    <w:rsid w:val="37C605ED"/>
    <w:rsid w:val="39D81DB4"/>
    <w:rsid w:val="3A875795"/>
    <w:rsid w:val="3E551C1D"/>
    <w:rsid w:val="3EAA16DD"/>
    <w:rsid w:val="3EE7006C"/>
    <w:rsid w:val="3F043070"/>
    <w:rsid w:val="46762869"/>
    <w:rsid w:val="46800ECA"/>
    <w:rsid w:val="46D65DFF"/>
    <w:rsid w:val="49C60D15"/>
    <w:rsid w:val="4E776E4B"/>
    <w:rsid w:val="4EBE5040"/>
    <w:rsid w:val="4FA93361"/>
    <w:rsid w:val="50426D62"/>
    <w:rsid w:val="50EB4351"/>
    <w:rsid w:val="59005937"/>
    <w:rsid w:val="596D5572"/>
    <w:rsid w:val="5A106A61"/>
    <w:rsid w:val="5B4A303E"/>
    <w:rsid w:val="5B867F38"/>
    <w:rsid w:val="5CCB520D"/>
    <w:rsid w:val="5CDE5F6B"/>
    <w:rsid w:val="5CE729B2"/>
    <w:rsid w:val="5D072615"/>
    <w:rsid w:val="5D820B03"/>
    <w:rsid w:val="5DDC291B"/>
    <w:rsid w:val="6043407E"/>
    <w:rsid w:val="605F74B4"/>
    <w:rsid w:val="621870FC"/>
    <w:rsid w:val="62DA2A3D"/>
    <w:rsid w:val="65D920E1"/>
    <w:rsid w:val="66EC0C69"/>
    <w:rsid w:val="6B4F6BCF"/>
    <w:rsid w:val="6BA66029"/>
    <w:rsid w:val="6E2E2D6D"/>
    <w:rsid w:val="6E460B96"/>
    <w:rsid w:val="6F046708"/>
    <w:rsid w:val="6FB410D2"/>
    <w:rsid w:val="6FC54BEF"/>
    <w:rsid w:val="71411B5D"/>
    <w:rsid w:val="728E0BA0"/>
    <w:rsid w:val="75D160D9"/>
    <w:rsid w:val="773A73AB"/>
    <w:rsid w:val="7A903B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spacing w:line="240" w:lineRule="atLeas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link w:val="3"/>
    <w:semiHidden/>
    <w:qFormat/>
    <w:uiPriority w:val="0"/>
    <w:rPr>
      <w:sz w:val="18"/>
      <w:szCs w:val="18"/>
    </w:rPr>
  </w:style>
  <w:style w:type="character" w:customStyle="1" w:styleId="7">
    <w:name w:val="页脚 Char"/>
    <w:link w:val="2"/>
    <w:semiHidden/>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475</Words>
  <Characters>2713</Characters>
  <Lines>22</Lines>
  <Paragraphs>6</Paragraphs>
  <TotalTime>4</TotalTime>
  <ScaleCrop>false</ScaleCrop>
  <LinksUpToDate>false</LinksUpToDate>
  <CharactersWithSpaces>3182</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2018-06-07T05:57:00Z</dcterms:created>
  <dc:creator>Administrator</dc:creator>
  <cp:lastModifiedBy>风苍月1390716542</cp:lastModifiedBy>
  <cp:lastPrinted>2018-06-11T04:22:00Z</cp:lastPrinted>
  <dcterms:modified xsi:type="dcterms:W3CDTF">2018-08-27T02:49:54Z</dcterms:modified>
  <dc:title>附件1</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