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天津市第一中级人民法院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预决算公开工作操作规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试行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为进一步规范部门预决算公开工作，根据《中华人民共和国预算法》和财政部、市政府对预决算信息公开的有关要求，制定本规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公开职责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。司法行政装备管理处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负责本单位预决算公开工作，应当树立依法公开观念，增强主动公开意识，切实履行主动公开责任，做好预决算公开后的说明解释工作。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《预算法》、《天津市预算审查监督条例》相关规定，经财政部门批复的部门预算、决算及报表，应当在批复后二十日内向社会公开；经预算主管部门批复的单位预算、决算及报表，应当在批复之日起二十日内由各单位向社会公开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公开内容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部门预决算公开的内容为财政部门批复的部门预决算及报表，包括收支总体情况和财政拨款收支情况。涉及国家秘密的信息除外。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般公共预算支出情况表公开到功能分类项级科目。一般公共预算基本支出表公开到经济性质分类款级科目。一般公共预算“三公”经费支出表按“因公出国（境）费”、“公务用车购置及运行费”、“公务接待费”公开，其中，“公务用车购置及运行费”应细化到“公务用车购置费”、“公务用车运行费”两个项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公开部门预决算时，应当一并公开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我院</w:t>
      </w:r>
      <w:r>
        <w:rPr>
          <w:rFonts w:hint="eastAsia" w:ascii="仿宋_GB2312" w:hAnsi="仿宋_GB2312" w:eastAsia="仿宋_GB2312" w:cs="仿宋_GB2312"/>
          <w:sz w:val="32"/>
          <w:szCs w:val="32"/>
        </w:rPr>
        <w:t>职责、机构设置情况、预决算收支增减变化、机关运行经费安排、政府采购、预算绩效以及国有资产占用等情况的说明，并对专业性较强的名词进行解释。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我院</w:t>
      </w:r>
      <w:r>
        <w:rPr>
          <w:rFonts w:hint="eastAsia" w:ascii="仿宋_GB2312" w:hAnsi="仿宋_GB2312" w:eastAsia="仿宋_GB2312" w:cs="仿宋_GB2312"/>
          <w:sz w:val="32"/>
          <w:szCs w:val="32"/>
        </w:rPr>
        <w:t>门户网站向社会公开部门预决算及“三公”经费预决算，并永久保留；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在门户网站</w:t>
      </w:r>
      <w:r>
        <w:rPr>
          <w:rFonts w:hint="eastAsia" w:ascii="仿宋_GB2312" w:hAnsi="仿宋_GB2312" w:eastAsia="仿宋_GB2312" w:cs="仿宋_GB2312"/>
          <w:sz w:val="32"/>
          <w:szCs w:val="32"/>
        </w:rPr>
        <w:t>设立预决算公开专栏，公开预决算信息。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涉密事项管理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建立健全预决算公开保密审查机制，严格按照《中华人民共和国保守国家秘密法》、《中华人民共和国政府信息公开条例》等法律法规规定进行审查。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在依法公开部门预决算时，对涉及国家秘密的内容不予公开。部分内容涉及国家秘密的，在确保安全的前提下，按照下列原则处理：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（一）同一功能分类款级科目下，大部分项级科目涉密的，仅公开到该款级科目；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（二）同一功能分类类级科目下，大部分款级科目涉密的，仅公开到该类级科目；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（三）个别功能分类款级科目或项级科目涉密的，除不公开该涉密科目外，同一级次的“其他支出”科目也不公开。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本规定自下发之日起试行。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center"/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</w:p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01B67"/>
    <w:rsid w:val="3E30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第一中级人民法院</Company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2019-08-13T01:07:00Z</dcterms:created>
  <dc:creator>魏杰</dc:creator>
  <cp:lastModifiedBy>魏杰</cp:lastModifiedBy>
  <cp:lastPrinted>2019-08-13T01:09:08Z</cp:lastPrinted>
  <dcterms:modified xsi:type="dcterms:W3CDTF">2019-08-13T01:10:03Z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