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98594">
      <w:pPr>
        <w:pStyle w:val="3"/>
        <w:spacing w:before="0" w:after="0"/>
        <w:rPr>
          <w:rFonts w:ascii="华文中宋" w:hAnsi="华文中宋" w:eastAsia="华文中宋"/>
          <w:b w:val="0"/>
          <w:bCs w:val="0"/>
        </w:rPr>
      </w:pPr>
      <w:r>
        <w:rPr>
          <w:rFonts w:hint="eastAsia" w:ascii="华文中宋" w:hAnsi="华文中宋" w:eastAsia="华文中宋"/>
          <w:b w:val="0"/>
          <w:bCs w:val="0"/>
        </w:rPr>
        <w:t>天津市</w:t>
      </w:r>
      <w:r>
        <w:rPr>
          <w:rFonts w:hint="eastAsia" w:ascii="华文中宋" w:hAnsi="华文中宋" w:eastAsia="华文中宋"/>
          <w:b w:val="0"/>
          <w:bCs w:val="0"/>
          <w:lang w:eastAsia="zh-CN"/>
        </w:rPr>
        <w:t>河北区</w:t>
      </w:r>
      <w:r>
        <w:rPr>
          <w:rFonts w:hint="eastAsia" w:ascii="华文中宋" w:hAnsi="华文中宋" w:eastAsia="华文中宋"/>
          <w:b w:val="0"/>
          <w:bCs w:val="0"/>
        </w:rPr>
        <w:t>人民法院预决算公开工作操作规程</w:t>
      </w:r>
    </w:p>
    <w:p w14:paraId="7F02F7E5"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 w14:paraId="72E7262C"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为进一步规范部门预决算公开工作，根据《中华人民共和国预算法》和财政部、市政府对预决算信息公开的有关要求，制定本规程。</w:t>
      </w:r>
    </w:p>
    <w:p w14:paraId="54A4DBF8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一、公开职责和公开原则</w:t>
      </w:r>
    </w:p>
    <w:p w14:paraId="7F80EA5C"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天津市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河北区</w:t>
      </w:r>
      <w:r>
        <w:rPr>
          <w:rFonts w:hint="eastAsia" w:ascii="仿宋_GB2312" w:hAnsi="仿宋_GB2312" w:eastAsia="仿宋_GB2312" w:cs="仿宋_GB2312"/>
          <w:sz w:val="30"/>
          <w:szCs w:val="30"/>
        </w:rPr>
        <w:t>人民法院是部门预决算公开的主体，负责我院预决算公开信息披露的具体工作。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我院坚持依法公开、主动公开的原则，切实履行主动公开责任，并</w:t>
      </w:r>
      <w:r>
        <w:rPr>
          <w:rFonts w:hint="eastAsia" w:ascii="仿宋_GB2312" w:hAnsi="仿宋_GB2312" w:eastAsia="仿宋_GB2312" w:cs="仿宋_GB2312"/>
          <w:sz w:val="30"/>
          <w:szCs w:val="30"/>
        </w:rPr>
        <w:t>做好预决算公开后的说明解释工作。</w:t>
      </w:r>
    </w:p>
    <w:p w14:paraId="17EFEF2B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二、公开时间</w:t>
      </w:r>
    </w:p>
    <w:p w14:paraId="7966ED37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按照《预</w:t>
      </w:r>
      <w:bookmarkStart w:id="0" w:name="_GoBack"/>
      <w:bookmarkEnd w:id="0"/>
      <w:r>
        <w:rPr>
          <w:rFonts w:hint="eastAsia" w:eastAsia="仿宋_GB2312"/>
          <w:sz w:val="30"/>
          <w:szCs w:val="30"/>
        </w:rPr>
        <w:t>算法》、</w:t>
      </w:r>
      <w:r>
        <w:rPr>
          <w:rFonts w:hint="eastAsia" w:ascii="仿宋_GB2312" w:eastAsia="仿宋_GB2312"/>
          <w:sz w:val="30"/>
          <w:szCs w:val="30"/>
        </w:rPr>
        <w:t>《天津市预决算审查监督条例》</w:t>
      </w:r>
      <w:r>
        <w:rPr>
          <w:rFonts w:hint="eastAsia" w:eastAsia="仿宋_GB2312"/>
          <w:sz w:val="30"/>
          <w:szCs w:val="30"/>
        </w:rPr>
        <w:t>相关规定，经</w:t>
      </w:r>
      <w:r>
        <w:rPr>
          <w:rFonts w:hint="eastAsia" w:ascii="仿宋_GB2312" w:eastAsia="仿宋_GB2312"/>
          <w:sz w:val="30"/>
          <w:szCs w:val="30"/>
        </w:rPr>
        <w:t>财政部门批复的部门预决算、决算及报表，应当在批复后二十日内向社会公开（涉密信息除外）。</w:t>
      </w:r>
      <w:r>
        <w:rPr>
          <w:rFonts w:ascii="仿宋_GB2312" w:eastAsia="仿宋_GB2312"/>
          <w:sz w:val="30"/>
          <w:szCs w:val="30"/>
        </w:rPr>
        <w:t xml:space="preserve"> </w:t>
      </w:r>
    </w:p>
    <w:p w14:paraId="5A8FA991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三、公开内容</w:t>
      </w:r>
    </w:p>
    <w:p w14:paraId="286A60A5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部门预决算公开的内容为财政部门批复的部门预决算及报表，包括收支总体情况和财政拨款收支情况。涉及国家秘密的信息除外。</w:t>
      </w:r>
    </w:p>
    <w:p w14:paraId="572E57F8">
      <w:pPr>
        <w:spacing w:line="560" w:lineRule="exact"/>
        <w:ind w:firstLine="567" w:firstLineChars="189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般公共预决算支出情况表公开到功能分类项级科目。一般公共预决算基本支出表公开到经济性质分类款级科目。一般公共预决算“三公”经费支出表按“因公出国（境）费”、“公务用车购置及运行费”、“公务接待费”公开，其中，“公务用车购置及运行费”应细化到“公务用车购置费”、“公务用车运行费”两个项目。</w:t>
      </w:r>
    </w:p>
    <w:p w14:paraId="2D8DECF2">
      <w:pPr>
        <w:spacing w:line="560" w:lineRule="exact"/>
        <w:ind w:firstLine="567" w:firstLineChars="189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公开部门预决算时，应当一并公开本部门职责、机构设置情况、预决算收支增减变化、机关运行经费安排、政府采购、预决算绩效以及国有资产占用等情况的说明，并对专业性较强的名词进行解释。</w:t>
      </w:r>
    </w:p>
    <w:p w14:paraId="71232BAE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四、公开形式</w:t>
      </w:r>
    </w:p>
    <w:p w14:paraId="5A09897E"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部门预决算及“三公”经费预决算通过本院门户网站（网址：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tjhbfy.chinacourt.org/index.shtml</w:t>
      </w:r>
      <w:r>
        <w:rPr>
          <w:rFonts w:hint="eastAsia" w:ascii="仿宋_GB2312" w:hAnsi="仿宋_GB2312" w:eastAsia="仿宋_GB2312" w:cs="仿宋_GB2312"/>
          <w:sz w:val="30"/>
          <w:szCs w:val="30"/>
        </w:rPr>
        <w:t>）向社会公开，并永久保留；同时，在市财政局“预决算公开统一平台”上进行公开（涉密信息除外）。</w:t>
      </w:r>
    </w:p>
    <w:p w14:paraId="76D82C96"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五、涉密事项管理</w:t>
      </w:r>
    </w:p>
    <w:p w14:paraId="2881DB43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各单位应当建立健全预决算公开保密审查机制，严格按照《中华人民共和国保守国家秘密法》、《中华人民共和国政府信息公开条例》等法律法规规定进行审查。</w:t>
      </w:r>
    </w:p>
    <w:p w14:paraId="2D8D0BE4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各单位在依法公开部门预决算时，对涉及国家秘密的内容不予公开。部分内容涉及国家秘密的，在确保安全的前提下，按照下列原则处理：</w:t>
      </w:r>
    </w:p>
    <w:p w14:paraId="7E219355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（一）同一功能分类款级科目下，大部分项级科目涉密的，仅公开到该款级科目；</w:t>
      </w:r>
    </w:p>
    <w:p w14:paraId="7222477D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（二）同一功能分类类级科目下，大部分款级科目涉密的，仅公开到该类级科目；</w:t>
      </w:r>
    </w:p>
    <w:p w14:paraId="19DE6834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（三）个别功能分类款级科目或项级科目涉密的，除不公开该涉密科目外，同一级次的“其他支出”科目也不公开。</w:t>
      </w:r>
    </w:p>
    <w:p w14:paraId="3508E8B0"/>
    <w:p w14:paraId="2D977EA2">
      <w:pPr>
        <w:spacing w:line="220" w:lineRule="atLeas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85049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2345E9F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C4695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4CD05D5"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941EBF"/>
    <w:rsid w:val="00C67A42"/>
    <w:rsid w:val="00D31D50"/>
    <w:rsid w:val="50747F48"/>
    <w:rsid w:val="60F36A77"/>
    <w:rsid w:val="7C1A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hAnsiTheme="minorHAnsi" w:eastAsiaTheme="minorEastAsia"/>
      <w:kern w:val="2"/>
      <w:sz w:val="18"/>
      <w:szCs w:val="18"/>
    </w:rPr>
  </w:style>
  <w:style w:type="paragraph" w:styleId="3">
    <w:name w:val="Title"/>
    <w:basedOn w:val="1"/>
    <w:next w:val="1"/>
    <w:link w:val="8"/>
    <w:qFormat/>
    <w:uiPriority w:val="0"/>
    <w:pPr>
      <w:widowControl w:val="0"/>
      <w:adjustRightInd/>
      <w:snapToGrid/>
      <w:spacing w:before="240" w:after="480"/>
      <w:jc w:val="center"/>
      <w:outlineLvl w:val="0"/>
    </w:pPr>
    <w:rPr>
      <w:rFonts w:ascii="Calibri" w:hAnsi="Calibri" w:eastAsia="黑体" w:cs="Times New Roman"/>
      <w:b/>
      <w:bCs/>
      <w:sz w:val="36"/>
      <w:szCs w:val="32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eastAsiaTheme="minorEastAsia"/>
      <w:kern w:val="2"/>
      <w:sz w:val="18"/>
      <w:szCs w:val="18"/>
    </w:rPr>
  </w:style>
  <w:style w:type="character" w:customStyle="1" w:styleId="8">
    <w:name w:val="标题 Char"/>
    <w:basedOn w:val="5"/>
    <w:link w:val="3"/>
    <w:qFormat/>
    <w:uiPriority w:val="0"/>
    <w:rPr>
      <w:rFonts w:ascii="Calibri" w:hAnsi="Calibri" w:eastAsia="黑体" w:cs="Times New Roman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892</Words>
  <Characters>924</Characters>
  <Lines>7</Lines>
  <Paragraphs>2</Paragraphs>
  <TotalTime>0</TotalTime>
  <ScaleCrop>false</ScaleCrop>
  <LinksUpToDate>false</LinksUpToDate>
  <CharactersWithSpaces>925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WPS_1604400747</cp:lastModifiedBy>
  <dcterms:modified xsi:type="dcterms:W3CDTF">2025-10-21T03:41:16Z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eyJoZGlkIjoiNzc0MzY2MjFmODE2MDVhZTc2MjViYzAyNzY4ZjRiYTUiLCJ1c2VySWQiOiIxMTM5NzYxMjE5In0=</vt:lpwstr>
  </property>
  <property fmtid="{D5CDD505-2E9C-101B-9397-08002B2CF9AE}" pid="4" name="ICV">
    <vt:lpwstr>CBE100C0DA034283B6C6804B29112029_12</vt:lpwstr>
  </property>
</Properties>
</file>