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65148">
      <w:pPr>
        <w:pStyle w:val="4"/>
        <w:spacing w:before="0" w:after="0"/>
        <w:rPr>
          <w:rFonts w:hint="eastAsia" w:ascii="华文中宋" w:hAnsi="华文中宋" w:eastAsia="华文中宋"/>
          <w:b w:val="0"/>
          <w:bCs w:val="0"/>
        </w:rPr>
      </w:pPr>
      <w:r>
        <w:rPr>
          <w:rFonts w:hint="eastAsia" w:ascii="华文中宋" w:hAnsi="华文中宋" w:eastAsia="华文中宋"/>
          <w:b w:val="0"/>
          <w:bCs w:val="0"/>
        </w:rPr>
        <w:t>天津市红桥区人民法院</w:t>
      </w:r>
    </w:p>
    <w:p w14:paraId="0BFEE97E">
      <w:pPr>
        <w:pStyle w:val="4"/>
        <w:spacing w:before="0" w:after="0"/>
        <w:rPr>
          <w:rFonts w:ascii="华文中宋" w:hAnsi="华文中宋" w:eastAsia="华文中宋"/>
          <w:b w:val="0"/>
          <w:bCs w:val="0"/>
        </w:rPr>
      </w:pPr>
      <w:r>
        <w:rPr>
          <w:rFonts w:hint="eastAsia" w:ascii="华文中宋" w:hAnsi="华文中宋" w:eastAsia="华文中宋"/>
          <w:b w:val="0"/>
          <w:bCs w:val="0"/>
        </w:rPr>
        <w:t>预决算公开工作操作</w:t>
      </w:r>
      <w:bookmarkStart w:id="0" w:name="_GoBack"/>
      <w:bookmarkEnd w:id="0"/>
      <w:r>
        <w:rPr>
          <w:rFonts w:hint="eastAsia" w:ascii="华文中宋" w:hAnsi="华文中宋" w:eastAsia="华文中宋"/>
          <w:b w:val="0"/>
          <w:bCs w:val="0"/>
        </w:rPr>
        <w:t>规程</w:t>
      </w:r>
    </w:p>
    <w:p w14:paraId="0339446B">
      <w:pPr>
        <w:spacing w:line="56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</w:p>
    <w:p w14:paraId="5F108FCD"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为进一步规范部门预决算公开工作，根据《中华人民共和国预算法》和财政部、市政府对预决算信息公开的有关要求，制定本规程。</w:t>
      </w:r>
    </w:p>
    <w:p w14:paraId="564A0CD7">
      <w:pPr>
        <w:spacing w:line="56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一、公开职责和公开原则</w:t>
      </w:r>
    </w:p>
    <w:p w14:paraId="43617860"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天津市红桥区人民法院是部门预决算公开的主体，办公室负责我院预决算公开信息披露的具体工作。</w:t>
      </w:r>
    </w:p>
    <w:p w14:paraId="0ADFCE4B"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预决算公开应坚持以公开为常态、不公开为例外的原则；坚持依法依规、</w:t>
      </w:r>
      <w:r>
        <w:rPr>
          <w:rFonts w:ascii="仿宋_GB2312" w:hAnsi="仿宋_GB2312" w:eastAsia="仿宋_GB2312" w:cs="仿宋_GB2312"/>
          <w:sz w:val="30"/>
          <w:szCs w:val="30"/>
        </w:rPr>
        <w:t>实事求是</w:t>
      </w:r>
      <w:r>
        <w:rPr>
          <w:rFonts w:hint="eastAsia" w:ascii="仿宋_GB2312" w:hAnsi="仿宋_GB2312" w:eastAsia="仿宋_GB2312" w:cs="仿宋_GB2312"/>
          <w:sz w:val="30"/>
          <w:szCs w:val="30"/>
        </w:rPr>
        <w:t>、准确</w:t>
      </w:r>
      <w:r>
        <w:rPr>
          <w:rFonts w:ascii="仿宋_GB2312" w:hAnsi="仿宋_GB2312" w:eastAsia="仿宋_GB2312" w:cs="仿宋_GB2312"/>
          <w:sz w:val="30"/>
          <w:szCs w:val="30"/>
        </w:rPr>
        <w:t>全面</w:t>
      </w:r>
      <w:r>
        <w:rPr>
          <w:rFonts w:hint="eastAsia" w:ascii="仿宋_GB2312" w:hAnsi="仿宋_GB2312" w:eastAsia="仿宋_GB2312" w:cs="仿宋_GB2312"/>
          <w:sz w:val="30"/>
          <w:szCs w:val="30"/>
        </w:rPr>
        <w:t>公开</w:t>
      </w:r>
      <w:r>
        <w:rPr>
          <w:rFonts w:ascii="仿宋_GB2312" w:hAnsi="仿宋_GB2312" w:eastAsia="仿宋_GB2312" w:cs="仿宋_GB2312"/>
          <w:sz w:val="30"/>
          <w:szCs w:val="30"/>
        </w:rPr>
        <w:t>预</w:t>
      </w:r>
      <w:r>
        <w:rPr>
          <w:rFonts w:hint="eastAsia" w:ascii="仿宋_GB2312" w:hAnsi="仿宋_GB2312" w:eastAsia="仿宋_GB2312" w:cs="仿宋_GB2312"/>
          <w:sz w:val="30"/>
          <w:szCs w:val="30"/>
        </w:rPr>
        <w:t>决</w:t>
      </w:r>
      <w:r>
        <w:rPr>
          <w:rFonts w:ascii="仿宋_GB2312" w:hAnsi="仿宋_GB2312" w:eastAsia="仿宋_GB2312" w:cs="仿宋_GB2312"/>
          <w:sz w:val="30"/>
          <w:szCs w:val="30"/>
        </w:rPr>
        <w:t>算信息</w:t>
      </w:r>
      <w:r>
        <w:rPr>
          <w:rFonts w:hint="eastAsia" w:ascii="仿宋_GB2312" w:hAnsi="仿宋_GB2312" w:eastAsia="仿宋_GB2312" w:cs="仿宋_GB2312"/>
          <w:sz w:val="30"/>
          <w:szCs w:val="30"/>
        </w:rPr>
        <w:t>原则。树立依法公开观念，增强主动公开意识，切实履行主动公开责任，做好预决算公开后的说明解释工作。</w:t>
      </w:r>
    </w:p>
    <w:p w14:paraId="6DDA5B77">
      <w:pPr>
        <w:spacing w:line="56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二、公开时间</w:t>
      </w:r>
    </w:p>
    <w:p w14:paraId="30DC23ED"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按照《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预算法》、《天津市预决算审查监督条例》相关规定，经财政部门批复的部门预决算、决算及报表，应当在批复后二十日内向社会公开（涉密信息除外）。</w:t>
      </w: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</w:p>
    <w:p w14:paraId="2B07E6E8">
      <w:pPr>
        <w:spacing w:line="56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三、公开内容</w:t>
      </w:r>
    </w:p>
    <w:p w14:paraId="5E0748C0"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部门预决算公开的内容为财政部门批复的部门预决算及报表，包括收支总体情况和财政拨款收支情况。涉及国家秘密的信息除外。</w:t>
      </w:r>
    </w:p>
    <w:p w14:paraId="383905FD"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般公共预决算支出情况表公开到功能分类项级科目。一般公共预决算基本支出表公开到经济性质分类款级科目。一般公共预决算“三公”经费支出表按“因公出国（境）费”、“公务用车购置及运行费”、“公务接待费”公开，其中，“公务用车购置及运行费”应细化到“公务用车购置费”、“公务用车运行费”两个项目。</w:t>
      </w:r>
    </w:p>
    <w:p w14:paraId="0B9AC62D"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公开部门预决算时，应当一并公开本部门职责、机构设置情况、预决算收支增减变化、机关运行经费安排、政府采购、预决算绩效以及国有资产占用等情况的说明，并对专业性较强的名词进行解释。</w:t>
      </w:r>
    </w:p>
    <w:p w14:paraId="781146B7">
      <w:pPr>
        <w:spacing w:line="56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四、公开形式</w:t>
      </w:r>
    </w:p>
    <w:p w14:paraId="10A2C95C"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部门预决算及“三公”经费预决算通过本院门户网站（</w:t>
      </w:r>
      <w:r>
        <w:rPr>
          <w:rFonts w:ascii="仿宋_GB2312" w:hAnsi="仿宋_GB2312" w:eastAsia="仿宋_GB2312" w:cs="仿宋_GB2312"/>
          <w:sz w:val="30"/>
          <w:szCs w:val="30"/>
        </w:rPr>
        <w:t>网址：</w:t>
      </w:r>
      <w:r>
        <w:rPr>
          <w:rFonts w:hint="eastAsia" w:ascii="仿宋_GB2312" w:hAnsi="仿宋_GB2312" w:eastAsia="仿宋_GB2312" w:cs="仿宋_GB2312"/>
          <w:sz w:val="30"/>
          <w:szCs w:val="30"/>
        </w:rPr>
        <w:t>http://tjhqfy.chinacourt.org）的预决算公开专栏向社会公开，并永久保留；</w:t>
      </w:r>
      <w:r>
        <w:rPr>
          <w:rFonts w:ascii="仿宋_GB2312" w:hAnsi="仿宋_GB2312" w:eastAsia="仿宋_GB2312" w:cs="仿宋_GB2312"/>
          <w:sz w:val="30"/>
          <w:szCs w:val="30"/>
        </w:rPr>
        <w:t>同时</w:t>
      </w:r>
      <w:r>
        <w:rPr>
          <w:rFonts w:hint="eastAsia" w:ascii="仿宋_GB2312" w:hAnsi="仿宋_GB2312" w:eastAsia="仿宋_GB2312" w:cs="仿宋_GB2312"/>
          <w:sz w:val="30"/>
          <w:szCs w:val="30"/>
        </w:rPr>
        <w:t>，在市财政局“预决算公开统一平台”上进行公开（</w:t>
      </w:r>
      <w:r>
        <w:rPr>
          <w:rFonts w:ascii="仿宋_GB2312" w:hAnsi="仿宋_GB2312" w:eastAsia="仿宋_GB2312" w:cs="仿宋_GB2312"/>
          <w:sz w:val="30"/>
          <w:szCs w:val="30"/>
        </w:rPr>
        <w:t>涉密信息</w:t>
      </w:r>
      <w:r>
        <w:rPr>
          <w:rFonts w:hint="eastAsia" w:ascii="仿宋_GB2312" w:hAnsi="仿宋_GB2312" w:eastAsia="仿宋_GB2312" w:cs="仿宋_GB2312"/>
          <w:sz w:val="30"/>
          <w:szCs w:val="30"/>
        </w:rPr>
        <w:t>除</w:t>
      </w:r>
      <w:r>
        <w:rPr>
          <w:rFonts w:ascii="仿宋_GB2312" w:hAnsi="仿宋_GB2312" w:eastAsia="仿宋_GB2312" w:cs="仿宋_GB2312"/>
          <w:sz w:val="30"/>
          <w:szCs w:val="30"/>
        </w:rPr>
        <w:t>外</w:t>
      </w:r>
      <w:r>
        <w:rPr>
          <w:rFonts w:hint="eastAsia" w:ascii="仿宋_GB2312" w:hAnsi="仿宋_GB2312" w:eastAsia="仿宋_GB2312" w:cs="仿宋_GB2312"/>
          <w:sz w:val="30"/>
          <w:szCs w:val="30"/>
        </w:rPr>
        <w:t>）。</w:t>
      </w:r>
    </w:p>
    <w:p w14:paraId="02B790FA">
      <w:pPr>
        <w:spacing w:line="56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五、涉密事项管理</w:t>
      </w:r>
    </w:p>
    <w:p w14:paraId="7B54B643"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各单位应当建立健全预决算公开保密审查机制，严格按照《中华人民共和国保守国家秘密法》、《中华人民共和国政府信息公开条例》等法律法规规定进行审查。</w:t>
      </w:r>
    </w:p>
    <w:p w14:paraId="3717D904"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各单位在依法公开部门预决算时，对涉及国家秘密的内容不予公开。部分内容涉及国家秘密的，在确保安全的前提下，按照下列原则处理：</w:t>
      </w:r>
    </w:p>
    <w:p w14:paraId="45264976"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（一）同一功能分类款级科目下，大部分项级科目涉密的，仅公开到该款级科目；</w:t>
      </w:r>
    </w:p>
    <w:p w14:paraId="1BB848B5"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（二）同一功能分类类级科目下，大部分款级科目涉密的，仅公开到该类级科目；</w:t>
      </w:r>
    </w:p>
    <w:p w14:paraId="3EA8585A"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（三）个别功能分类款级科目或项级科目涉密的，除不公开该涉密科目外，同一级次的“其他支出”科目也不公开。</w:t>
      </w:r>
    </w:p>
    <w:p w14:paraId="5954BBB9"/>
    <w:p w14:paraId="23B0ADC0">
      <w:pPr>
        <w:spacing w:line="220" w:lineRule="atLeas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2E70E4"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 w14:paraId="42C09867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E2E28B"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3EA3610F"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B2E14"/>
    <w:rsid w:val="000B5601"/>
    <w:rsid w:val="00323B43"/>
    <w:rsid w:val="003D37D8"/>
    <w:rsid w:val="00426133"/>
    <w:rsid w:val="004358AB"/>
    <w:rsid w:val="00444555"/>
    <w:rsid w:val="008B7726"/>
    <w:rsid w:val="00941EBF"/>
    <w:rsid w:val="00BD1A31"/>
    <w:rsid w:val="00C67A42"/>
    <w:rsid w:val="00D31D50"/>
    <w:rsid w:val="0E5C51BC"/>
    <w:rsid w:val="455569BF"/>
    <w:rsid w:val="7AB5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hAnsiTheme="minorHAnsi" w:eastAsiaTheme="minorEastAsia"/>
      <w:kern w:val="2"/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uiPriority w:val="0"/>
    <w:pPr>
      <w:widowControl w:val="0"/>
      <w:adjustRightInd/>
      <w:snapToGrid/>
      <w:spacing w:before="240" w:after="480"/>
      <w:jc w:val="center"/>
      <w:outlineLvl w:val="0"/>
    </w:pPr>
    <w:rPr>
      <w:rFonts w:ascii="Calibri" w:hAnsi="Calibri" w:eastAsia="黑体" w:cs="Times New Roman"/>
      <w:b/>
      <w:bCs/>
      <w:sz w:val="36"/>
      <w:szCs w:val="32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2"/>
    <w:qFormat/>
    <w:uiPriority w:val="0"/>
    <w:rPr>
      <w:rFonts w:eastAsiaTheme="minorEastAsia"/>
      <w:kern w:val="2"/>
      <w:sz w:val="18"/>
      <w:szCs w:val="18"/>
    </w:rPr>
  </w:style>
  <w:style w:type="character" w:customStyle="1" w:styleId="9">
    <w:name w:val="标题 Char"/>
    <w:basedOn w:val="6"/>
    <w:link w:val="4"/>
    <w:uiPriority w:val="0"/>
    <w:rPr>
      <w:rFonts w:ascii="Calibri" w:hAnsi="Calibri" w:eastAsia="黑体" w:cs="Times New Roman"/>
      <w:b/>
      <w:bCs/>
      <w:sz w:val="36"/>
      <w:szCs w:val="32"/>
    </w:rPr>
  </w:style>
  <w:style w:type="character" w:customStyle="1" w:styleId="10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01762-5699-4F1E-BD03-A2AC01830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961</Words>
  <Characters>988</Characters>
  <Lines>7</Lines>
  <Paragraphs>2</Paragraphs>
  <TotalTime>22</TotalTime>
  <ScaleCrop>false</ScaleCrop>
  <LinksUpToDate>false</LinksUpToDate>
  <CharactersWithSpaces>989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WT</dc:creator>
  <cp:lastModifiedBy>WPS_1604400747</cp:lastModifiedBy>
  <dcterms:modified xsi:type="dcterms:W3CDTF">2025-10-21T03:40:26Z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eyJoZGlkIjoiNzc0MzY2MjFmODE2MDVhZTc2MjViYzAyNzY4ZjRiYTUiLCJ1c2VySWQiOiIxMTM5NzYxMjE5In0=</vt:lpwstr>
  </property>
  <property fmtid="{D5CDD505-2E9C-101B-9397-08002B2CF9AE}" pid="3" name="KSOProductBuildVer">
    <vt:lpwstr>2052-12.1.0.20784</vt:lpwstr>
  </property>
  <property fmtid="{D5CDD505-2E9C-101B-9397-08002B2CF9AE}" pid="4" name="ICV">
    <vt:lpwstr>5EB296F9BFF44B008537A27B369B5758_12</vt:lpwstr>
  </property>
</Properties>
</file>