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600" w:lineRule="exact"/>
        <w:jc w:val="both"/>
        <w:rPr>
          <w:rFonts w:ascii="宋体" w:hAnsi="宋体"/>
          <w:w w:val="95"/>
          <w:sz w:val="32"/>
          <w:szCs w:val="32"/>
        </w:rPr>
      </w:pPr>
    </w:p>
    <w:p>
      <w:pPr>
        <w:spacing w:line="580" w:lineRule="exact"/>
        <w:jc w:val="center"/>
        <w:rPr>
          <w:rFonts w:ascii="黑体" w:eastAsia="黑体"/>
          <w:w w:val="95"/>
          <w:sz w:val="44"/>
          <w:szCs w:val="44"/>
        </w:rPr>
      </w:pPr>
      <w:r>
        <w:rPr>
          <w:rFonts w:hint="eastAsia" w:ascii="黑体" w:eastAsia="黑体"/>
          <w:w w:val="95"/>
          <w:sz w:val="44"/>
          <w:szCs w:val="44"/>
        </w:rPr>
        <w:t>中华人民共和国天津出入境边防检查总站2018年度部门决算编制说明</w:t>
      </w:r>
    </w:p>
    <w:p>
      <w:pPr>
        <w:spacing w:line="580" w:lineRule="exact"/>
        <w:jc w:val="center"/>
        <w:rPr>
          <w:rFonts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44"/>
          <w:szCs w:val="44"/>
          <w:lang w:val="en-US" w:eastAsia="zh-CN"/>
        </w:rPr>
      </w:pPr>
      <w:r>
        <w:rPr>
          <w:rFonts w:hint="eastAsia" w:ascii="黑体" w:eastAsia="黑体"/>
          <w:sz w:val="44"/>
          <w:szCs w:val="44"/>
          <w:lang w:val="en-US" w:eastAsia="zh-CN"/>
        </w:rPr>
        <w:t>目   录</w:t>
      </w:r>
    </w:p>
    <w:p>
      <w:pPr>
        <w:spacing w:line="580" w:lineRule="exact"/>
        <w:jc w:val="left"/>
        <w:rPr>
          <w:rFonts w:hint="eastAsia" w:ascii="黑体" w:eastAsia="黑体"/>
          <w:sz w:val="30"/>
          <w:szCs w:val="30"/>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黑体" w:eastAsia="黑体"/>
          <w:sz w:val="30"/>
          <w:szCs w:val="30"/>
        </w:rPr>
      </w:pPr>
      <w:r>
        <w:rPr>
          <w:rFonts w:hint="eastAsia" w:ascii="黑体" w:eastAsia="黑体"/>
          <w:sz w:val="30"/>
          <w:szCs w:val="30"/>
          <w:lang w:val="en-US" w:eastAsia="zh-CN"/>
        </w:rPr>
        <w:t xml:space="preserve">第一部分  </w:t>
      </w:r>
      <w:r>
        <w:rPr>
          <w:rFonts w:hint="eastAsia" w:ascii="黑体" w:eastAsia="黑体"/>
          <w:sz w:val="30"/>
          <w:szCs w:val="30"/>
        </w:rPr>
        <w:t>概况</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主要职责</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机构设置</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Chars="0" w:right="0" w:rightChars="0"/>
        <w:textAlignment w:val="baseline"/>
        <w:outlineLvl w:val="9"/>
        <w:rPr>
          <w:rFonts w:hint="eastAsia" w:ascii="楷体_GB2312" w:eastAsia="楷体_GB2312"/>
          <w:b w:val="0"/>
          <w:bCs/>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eastAsia="黑体"/>
          <w:sz w:val="30"/>
          <w:szCs w:val="30"/>
        </w:rPr>
      </w:pPr>
      <w:r>
        <w:rPr>
          <w:rFonts w:hint="default" w:ascii="Times New Roman" w:hAnsi="Times New Roman" w:eastAsia="黑体" w:cs="Times New Roman"/>
          <w:sz w:val="30"/>
          <w:szCs w:val="30"/>
        </w:rPr>
        <w:t>第</w:t>
      </w:r>
      <w:r>
        <w:rPr>
          <w:rFonts w:hint="eastAsia" w:ascii="Times New Roman" w:hAnsi="Times New Roman" w:eastAsia="黑体" w:cs="Times New Roman"/>
          <w:sz w:val="30"/>
          <w:szCs w:val="30"/>
          <w:lang w:eastAsia="zh-CN"/>
        </w:rPr>
        <w:t>二</w:t>
      </w:r>
      <w:r>
        <w:rPr>
          <w:rFonts w:hint="default" w:ascii="Times New Roman" w:hAnsi="Times New Roman" w:eastAsia="黑体" w:cs="Times New Roman"/>
          <w:sz w:val="30"/>
          <w:szCs w:val="30"/>
        </w:rPr>
        <w:t xml:space="preserve">部分  </w:t>
      </w:r>
      <w:r>
        <w:rPr>
          <w:rFonts w:hint="eastAsia" w:ascii="黑体" w:eastAsia="黑体"/>
          <w:sz w:val="30"/>
          <w:szCs w:val="30"/>
        </w:rPr>
        <w:t>2018年度部门决算情况说明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一、201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年度部门决算收入情况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二、201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三、201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四、201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年度部门决算一般公共预算财政拨款基本支出情况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lang w:eastAsia="zh-CN"/>
        </w:rPr>
      </w:pPr>
      <w:r>
        <w:rPr>
          <w:rFonts w:hint="default" w:ascii="Times New Roman" w:hAnsi="Times New Roman" w:eastAsia="楷体_GB2312" w:cs="Times New Roman"/>
          <w:b w:val="0"/>
          <w:bCs/>
          <w:sz w:val="30"/>
          <w:szCs w:val="30"/>
        </w:rPr>
        <w:t>五、</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机关运行经费</w:t>
      </w:r>
      <w:r>
        <w:rPr>
          <w:rFonts w:hint="eastAsia" w:ascii="Times New Roman" w:hAnsi="Times New Roman" w:eastAsia="楷体_GB2312" w:cs="Times New Roman"/>
          <w:b w:val="0"/>
          <w:bCs/>
          <w:sz w:val="30"/>
          <w:szCs w:val="30"/>
          <w:lang w:eastAsia="zh-CN"/>
        </w:rPr>
        <w:t>决算数</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年度部门决算政府性基金预算财政拨款收入支出情况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w:t>
      </w:r>
      <w:r>
        <w:rPr>
          <w:rFonts w:hint="eastAsia" w:ascii="Times New Roman" w:hAnsi="Times New Roman" w:eastAsia="楷体_GB2312" w:cs="Times New Roman"/>
          <w:b w:val="0"/>
          <w:bCs/>
          <w:sz w:val="30"/>
          <w:szCs w:val="30"/>
          <w:lang w:val="en-US" w:eastAsia="zh-CN"/>
        </w:rPr>
        <w:t>2</w:t>
      </w:r>
      <w:r>
        <w:rPr>
          <w:rFonts w:hint="default" w:ascii="Times New Roman" w:hAnsi="Times New Roman" w:eastAsia="楷体_GB2312" w:cs="Times New Roman"/>
          <w:b w:val="0"/>
          <w:bCs/>
          <w:sz w:val="30"/>
          <w:szCs w:val="30"/>
        </w:rPr>
        <w:t>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年度一般公共预算财政拨款“三公”经费决算情况说明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color w:val="000000"/>
          <w:sz w:val="30"/>
          <w:szCs w:val="30"/>
          <w:lang w:eastAsia="zh-CN"/>
        </w:rPr>
        <w:t>七、</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政府采购情况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八、</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预算绩效情况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九、</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国有资产占有使用情况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hAnsi="黑体" w:eastAsia="黑体"/>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黑体" w:hAnsi="黑体" w:eastAsia="黑体"/>
          <w:sz w:val="30"/>
          <w:szCs w:val="30"/>
        </w:rPr>
        <w:t>第三部分  专业名词解释</w:t>
      </w: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bookmarkStart w:id="0" w:name="_GoBack"/>
      <w:bookmarkEnd w:id="0"/>
    </w:p>
    <w:p>
      <w:pPr>
        <w:spacing w:line="580" w:lineRule="exact"/>
        <w:jc w:val="center"/>
        <w:rPr>
          <w:rFonts w:ascii="黑体" w:eastAsia="黑体"/>
          <w:sz w:val="30"/>
          <w:szCs w:val="30"/>
        </w:rPr>
      </w:pPr>
      <w:r>
        <w:rPr>
          <w:rFonts w:hint="eastAsia" w:ascii="黑体" w:eastAsia="黑体"/>
          <w:sz w:val="30"/>
          <w:szCs w:val="30"/>
        </w:rPr>
        <w:t xml:space="preserve">第一部分    </w:t>
      </w:r>
      <w:r>
        <w:rPr>
          <w:rFonts w:hint="eastAsia" w:ascii="黑体" w:hAnsi="黑体" w:eastAsia="黑体"/>
          <w:sz w:val="30"/>
          <w:szCs w:val="30"/>
        </w:rPr>
        <w:t>中华人民共和国</w:t>
      </w:r>
      <w:r>
        <w:rPr>
          <w:rFonts w:hint="eastAsia" w:ascii="黑体" w:eastAsia="黑体"/>
          <w:sz w:val="30"/>
          <w:szCs w:val="30"/>
        </w:rPr>
        <w:t>天津出入境边防检查总站概况</w:t>
      </w:r>
    </w:p>
    <w:p>
      <w:pPr>
        <w:spacing w:line="580" w:lineRule="exact"/>
        <w:ind w:firstLine="480" w:firstLineChars="200"/>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一、主要职责</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对出境、入境人员及其行李物品、交通运输工具及其载运的货物实施边防检查；依照国家法律、法规对出境、入境交通运输工具进行监护；对口岸限定区域进行警戒，维护出境、入境秩序；执行主管机关赋予的其它法律、行政法规规定的任务。</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二、机构设置</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根据上述职责，中华人民共和国天津出入境边防检查总站</w:t>
      </w:r>
      <w:r>
        <w:rPr>
          <w:rFonts w:hint="eastAsia" w:ascii="仿宋_GB2312" w:eastAsia="仿宋_GB2312"/>
          <w:sz w:val="30"/>
          <w:szCs w:val="30"/>
        </w:rPr>
        <w:t>内设7个职能处室，下辖1个预算单位。</w:t>
      </w:r>
      <w:r>
        <w:rPr>
          <w:rFonts w:hint="eastAsia" w:ascii="仿宋_GB2312" w:hAnsi="仿宋" w:eastAsia="仿宋_GB2312"/>
          <w:sz w:val="30"/>
          <w:szCs w:val="30"/>
        </w:rPr>
        <w:t>中华人民共和国天津出入境边防检查总站直属于国家移民局，人员全部隶属于国家移民局，不在地方重复反映。根据决算编报要求，纳入中华人民共和国天津出入境边防检查总站2018年部门决算编报范围的只有总站本级。</w:t>
      </w:r>
    </w:p>
    <w:p>
      <w:pPr>
        <w:spacing w:line="580" w:lineRule="exact"/>
        <w:rPr>
          <w:rFonts w:ascii="黑体" w:eastAsia="黑体"/>
          <w:sz w:val="30"/>
          <w:szCs w:val="30"/>
        </w:rPr>
      </w:pPr>
    </w:p>
    <w:p>
      <w:pPr>
        <w:spacing w:line="580" w:lineRule="exact"/>
        <w:ind w:firstLine="600" w:firstLineChars="200"/>
        <w:rPr>
          <w:rFonts w:ascii="黑体" w:eastAsia="黑体"/>
          <w:sz w:val="30"/>
          <w:szCs w:val="30"/>
        </w:rPr>
      </w:pPr>
      <w:r>
        <w:rPr>
          <w:rFonts w:hint="eastAsia" w:ascii="黑体" w:eastAsia="黑体"/>
          <w:sz w:val="30"/>
          <w:szCs w:val="30"/>
        </w:rPr>
        <w:t xml:space="preserve">第二部分  </w:t>
      </w:r>
      <w:r>
        <w:rPr>
          <w:rFonts w:hint="eastAsia" w:ascii="黑体" w:hAnsi="黑体" w:eastAsia="黑体"/>
          <w:sz w:val="30"/>
          <w:szCs w:val="30"/>
        </w:rPr>
        <w:t>中华人民共和国</w:t>
      </w:r>
      <w:r>
        <w:rPr>
          <w:rFonts w:hint="eastAsia" w:ascii="黑体" w:eastAsia="黑体"/>
          <w:sz w:val="30"/>
          <w:szCs w:val="30"/>
        </w:rPr>
        <w:t>天津出入境边防检查总站</w:t>
      </w:r>
    </w:p>
    <w:p>
      <w:pPr>
        <w:spacing w:line="580" w:lineRule="exact"/>
        <w:ind w:firstLine="600" w:firstLineChars="200"/>
        <w:jc w:val="center"/>
        <w:rPr>
          <w:rFonts w:ascii="黑体" w:eastAsia="黑体"/>
          <w:sz w:val="30"/>
          <w:szCs w:val="30"/>
        </w:rPr>
      </w:pPr>
      <w:r>
        <w:rPr>
          <w:rFonts w:hint="eastAsia" w:ascii="黑体" w:eastAsia="黑体"/>
          <w:sz w:val="30"/>
          <w:szCs w:val="30"/>
        </w:rPr>
        <w:t>2018年度部门决算情况说明</w:t>
      </w:r>
    </w:p>
    <w:p>
      <w:pPr>
        <w:spacing w:line="580" w:lineRule="exact"/>
        <w:ind w:firstLine="600" w:firstLineChars="200"/>
        <w:rPr>
          <w:rFonts w:ascii="黑体" w:eastAsia="黑体"/>
          <w:sz w:val="30"/>
          <w:szCs w:val="30"/>
        </w:rPr>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一、2018年度部门决算收入情况</w:t>
      </w:r>
    </w:p>
    <w:p>
      <w:pPr>
        <w:spacing w:line="600" w:lineRule="exact"/>
        <w:ind w:firstLine="600" w:firstLineChars="200"/>
        <w:rPr>
          <w:rFonts w:ascii="仿宋_GB2312" w:eastAsia="仿宋_GB2312"/>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2018年度部门决算收入总计15,820,000.00元，与2017年决算相比增加0.00元，其中：财政拨款收入15,820,000.00元，占100%；上级补助收入0.00元，占 0%；事业收入0.00元，占0%；经营收入0.00元，占0%；附属单位上缴收入0.00元，占0%；其他收入0.00元，占0%。</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二、2018年度部门决算支出情况</w:t>
      </w:r>
    </w:p>
    <w:p>
      <w:pPr>
        <w:spacing w:line="580" w:lineRule="exact"/>
        <w:ind w:firstLine="600" w:firstLineChars="200"/>
        <w:rPr>
          <w:rFonts w:ascii="仿宋_GB2312" w:hAnsi="宋体" w:eastAsia="仿宋_GB2312"/>
          <w:sz w:val="30"/>
          <w:szCs w:val="30"/>
        </w:rPr>
      </w:pPr>
      <w:r>
        <w:rPr>
          <w:rFonts w:hint="eastAsia" w:ascii="仿宋_GB2312" w:hAnsi="宋体" w:eastAsia="仿宋_GB2312"/>
          <w:sz w:val="30"/>
          <w:szCs w:val="30"/>
        </w:rPr>
        <w:t>中华人民共和国天津出入境边防检查总站</w:t>
      </w:r>
      <w:r>
        <w:rPr>
          <w:rFonts w:ascii="仿宋_GB2312" w:hAnsi="宋体" w:eastAsia="仿宋_GB2312"/>
          <w:sz w:val="30"/>
          <w:szCs w:val="30"/>
        </w:rPr>
        <w:t>2018年度部门决算支出总计15,820,000.00元，与2017年决算相比增加0.00元，其中：基本支出15,820,000.00元，占100%；项目支出0.00元，占0%；上缴上级支出0.00元，占0%；经营支出0.00元，占100%；对附属单位补助支出0.00元，占0%。</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三、2018年度部门决算一般公共预算财政拨款支出情况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2018年度部门决算一般公共预算财政拨款支出总计</w:t>
      </w:r>
      <w:r>
        <w:rPr>
          <w:rFonts w:ascii="仿宋_GB2312" w:eastAsia="仿宋_GB2312"/>
          <w:sz w:val="30"/>
          <w:szCs w:val="30"/>
        </w:rPr>
        <w:t>15,820,000.00</w:t>
      </w:r>
      <w:r>
        <w:rPr>
          <w:rFonts w:hint="eastAsia" w:ascii="仿宋_GB2312" w:eastAsia="仿宋_GB2312"/>
          <w:sz w:val="30"/>
          <w:szCs w:val="30"/>
        </w:rPr>
        <w:t>元，与2017年决算相比增加</w:t>
      </w:r>
      <w:r>
        <w:rPr>
          <w:rFonts w:ascii="仿宋_GB2312" w:eastAsia="仿宋_GB2312"/>
          <w:sz w:val="30"/>
          <w:szCs w:val="30"/>
        </w:rPr>
        <w:t>0.00</w:t>
      </w:r>
      <w:r>
        <w:rPr>
          <w:rFonts w:hint="eastAsia" w:ascii="仿宋_GB2312" w:eastAsia="仿宋_GB2312"/>
          <w:sz w:val="30"/>
          <w:szCs w:val="30"/>
        </w:rPr>
        <w:t>元，具体情况如下：</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 xml:space="preserve"> “</w:t>
      </w:r>
      <w:r>
        <w:rPr>
          <w:rFonts w:hint="eastAsia" w:ascii="仿宋_GB2312" w:hAnsi="仿宋" w:eastAsia="仿宋_GB2312"/>
          <w:sz w:val="30"/>
          <w:szCs w:val="30"/>
        </w:rPr>
        <w:t>公共安全支出</w:t>
      </w:r>
      <w:r>
        <w:rPr>
          <w:rFonts w:hint="eastAsia" w:ascii="仿宋_GB2312" w:eastAsia="仿宋_GB2312"/>
          <w:sz w:val="30"/>
          <w:szCs w:val="30"/>
        </w:rPr>
        <w:t>”</w:t>
      </w:r>
      <w:r>
        <w:rPr>
          <w:rFonts w:ascii="仿宋_GB2312" w:eastAsia="仿宋_GB2312"/>
          <w:sz w:val="30"/>
          <w:szCs w:val="30"/>
        </w:rPr>
        <w:t>15,820,000.00</w:t>
      </w:r>
      <w:r>
        <w:rPr>
          <w:rFonts w:hint="eastAsia" w:ascii="仿宋_GB2312" w:eastAsia="仿宋_GB2312"/>
          <w:sz w:val="30"/>
          <w:szCs w:val="30"/>
        </w:rPr>
        <w:t>元，其中：“</w:t>
      </w:r>
      <w:r>
        <w:rPr>
          <w:rFonts w:hint="eastAsia" w:ascii="仿宋_GB2312" w:hAnsi="仿宋" w:eastAsia="仿宋_GB2312"/>
          <w:sz w:val="30"/>
          <w:szCs w:val="30"/>
        </w:rPr>
        <w:t>武装警察</w:t>
      </w:r>
      <w:r>
        <w:rPr>
          <w:rFonts w:hint="eastAsia" w:ascii="仿宋_GB2312" w:eastAsia="仿宋_GB2312"/>
          <w:sz w:val="30"/>
          <w:szCs w:val="30"/>
        </w:rPr>
        <w:t>”</w:t>
      </w:r>
      <w:r>
        <w:rPr>
          <w:rFonts w:ascii="仿宋_GB2312" w:eastAsia="仿宋_GB2312"/>
          <w:sz w:val="30"/>
          <w:szCs w:val="30"/>
        </w:rPr>
        <w:t>15,820,000.00</w:t>
      </w:r>
      <w:r>
        <w:rPr>
          <w:rFonts w:hint="eastAsia" w:ascii="仿宋_GB2312" w:eastAsia="仿宋_GB2312"/>
          <w:sz w:val="30"/>
          <w:szCs w:val="30"/>
        </w:rPr>
        <w:t>元，主要用于：</w:t>
      </w:r>
      <w:r>
        <w:rPr>
          <w:rFonts w:hint="eastAsia" w:ascii="仿宋_GB2312" w:hAnsi="仿宋" w:eastAsia="仿宋_GB2312"/>
          <w:sz w:val="30"/>
          <w:szCs w:val="30"/>
        </w:rPr>
        <w:t>“边防”支出的出入境检查业务支出</w:t>
      </w:r>
      <w:r>
        <w:rPr>
          <w:rFonts w:hint="eastAsia" w:ascii="仿宋_GB2312" w:eastAsia="仿宋_GB2312"/>
          <w:sz w:val="30"/>
          <w:szCs w:val="30"/>
        </w:rPr>
        <w:t>。</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四、2018年度部门决算一般公共预算财政拨款基本支出情况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2018年度部门决算一般公共预算财政拨款基本支出总计</w:t>
      </w:r>
      <w:r>
        <w:rPr>
          <w:rFonts w:ascii="仿宋_GB2312" w:eastAsia="仿宋_GB2312"/>
          <w:sz w:val="30"/>
          <w:szCs w:val="30"/>
        </w:rPr>
        <w:t>15,820,000.00</w:t>
      </w:r>
      <w:r>
        <w:rPr>
          <w:rFonts w:hint="eastAsia" w:ascii="仿宋_GB2312" w:eastAsia="仿宋_GB2312"/>
          <w:sz w:val="30"/>
          <w:szCs w:val="30"/>
        </w:rPr>
        <w:t>元，与2017年决算相比增加</w:t>
      </w:r>
      <w:r>
        <w:rPr>
          <w:rFonts w:ascii="仿宋_GB2312" w:eastAsia="仿宋_GB2312"/>
          <w:sz w:val="30"/>
          <w:szCs w:val="30"/>
        </w:rPr>
        <w:t>0.00</w:t>
      </w:r>
      <w:r>
        <w:rPr>
          <w:rFonts w:hint="eastAsia" w:ascii="仿宋_GB2312" w:eastAsia="仿宋_GB2312"/>
          <w:sz w:val="30"/>
          <w:szCs w:val="30"/>
        </w:rPr>
        <w:t>元，具体情况如下：</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1、“工资福利支出”</w:t>
      </w:r>
      <w:r>
        <w:rPr>
          <w:rFonts w:ascii="仿宋_GB2312" w:eastAsia="仿宋_GB2312"/>
          <w:sz w:val="30"/>
          <w:szCs w:val="30"/>
        </w:rPr>
        <w:t>11,000,000.00</w:t>
      </w:r>
      <w:r>
        <w:rPr>
          <w:rFonts w:hint="eastAsia" w:ascii="仿宋_GB2312" w:eastAsia="仿宋_GB2312"/>
          <w:sz w:val="30"/>
          <w:szCs w:val="30"/>
        </w:rPr>
        <w:t>元，其中：“津贴补贴”</w:t>
      </w:r>
      <w:r>
        <w:rPr>
          <w:rFonts w:ascii="仿宋_GB2312" w:eastAsia="仿宋_GB2312"/>
          <w:sz w:val="30"/>
          <w:szCs w:val="30"/>
        </w:rPr>
        <w:t>11,000,000.00</w:t>
      </w:r>
      <w:r>
        <w:rPr>
          <w:rFonts w:hint="eastAsia" w:ascii="仿宋_GB2312" w:eastAsia="仿宋_GB2312"/>
          <w:sz w:val="30"/>
          <w:szCs w:val="30"/>
        </w:rPr>
        <w:t>元，主要用于：发放在职人员的工资薪金。</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2、</w:t>
      </w:r>
      <w:r>
        <w:rPr>
          <w:rFonts w:hint="eastAsia" w:ascii="仿宋_GB2312" w:hAnsi="仿宋" w:eastAsia="仿宋_GB2312"/>
          <w:sz w:val="30"/>
          <w:szCs w:val="30"/>
        </w:rPr>
        <w:t>“商品和服务支出”</w:t>
      </w:r>
      <w:r>
        <w:rPr>
          <w:rFonts w:ascii="仿宋_GB2312" w:hAnsi="仿宋" w:eastAsia="仿宋_GB2312"/>
          <w:sz w:val="30"/>
          <w:szCs w:val="30"/>
        </w:rPr>
        <w:t>4,820,000.00</w:t>
      </w:r>
      <w:r>
        <w:rPr>
          <w:rFonts w:hint="eastAsia" w:ascii="仿宋_GB2312" w:hAnsi="仿宋" w:eastAsia="仿宋_GB2312"/>
          <w:sz w:val="30"/>
          <w:szCs w:val="30"/>
        </w:rPr>
        <w:t>元，其中：“办公费”</w:t>
      </w:r>
      <w:r>
        <w:rPr>
          <w:rFonts w:ascii="仿宋_GB2312" w:hAnsi="仿宋" w:eastAsia="仿宋_GB2312"/>
          <w:sz w:val="30"/>
          <w:szCs w:val="30"/>
        </w:rPr>
        <w:t>4,000,000.00</w:t>
      </w:r>
      <w:r>
        <w:rPr>
          <w:rFonts w:hint="eastAsia" w:ascii="仿宋_GB2312" w:hAnsi="仿宋" w:eastAsia="仿宋_GB2312"/>
          <w:sz w:val="30"/>
          <w:szCs w:val="30"/>
        </w:rPr>
        <w:t>元，主要用于日常办公开支；“租赁费”</w:t>
      </w:r>
      <w:r>
        <w:rPr>
          <w:rFonts w:ascii="仿宋_GB2312" w:hAnsi="仿宋" w:eastAsia="仿宋_GB2312"/>
          <w:sz w:val="30"/>
          <w:szCs w:val="30"/>
        </w:rPr>
        <w:t>820,000.00</w:t>
      </w:r>
      <w:r>
        <w:rPr>
          <w:rFonts w:hint="eastAsia" w:ascii="仿宋_GB2312" w:hAnsi="仿宋" w:eastAsia="仿宋_GB2312"/>
          <w:sz w:val="30"/>
          <w:szCs w:val="30"/>
        </w:rPr>
        <w:t>元，主要用于开支办公用房租赁费用。</w:t>
      </w:r>
    </w:p>
    <w:p>
      <w:pPr>
        <w:spacing w:line="580" w:lineRule="exact"/>
        <w:ind w:firstLine="600"/>
        <w:rPr>
          <w:rFonts w:ascii="楷体_GB2312" w:eastAsia="楷体_GB2312"/>
          <w:b/>
          <w:sz w:val="30"/>
          <w:szCs w:val="30"/>
        </w:rPr>
      </w:pPr>
      <w:r>
        <w:rPr>
          <w:rFonts w:hint="eastAsia" w:ascii="楷体_GB2312" w:eastAsia="楷体_GB2312"/>
          <w:b/>
          <w:sz w:val="30"/>
          <w:szCs w:val="30"/>
        </w:rPr>
        <w:t>五、2018年度机关运行经费决算数</w:t>
      </w:r>
    </w:p>
    <w:p>
      <w:pPr>
        <w:spacing w:line="580" w:lineRule="exact"/>
        <w:ind w:firstLine="600"/>
        <w:rPr>
          <w:rFonts w:ascii="仿宋_GB2312" w:eastAsia="仿宋_GB2312"/>
          <w:sz w:val="30"/>
          <w:szCs w:val="30"/>
        </w:rPr>
      </w:pPr>
      <w:r>
        <w:rPr>
          <w:rFonts w:hint="eastAsia" w:ascii="仿宋_GB2312" w:eastAsia="仿宋_GB2312"/>
          <w:sz w:val="30"/>
          <w:szCs w:val="30"/>
        </w:rPr>
        <w:t>机关运行经费是指行政单位和参照公务员法管理的事业单位使用一般公共预算财政拨款安排的基本支出中的日常公用经费支出，</w:t>
      </w: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2018年度机关运行经费决算数</w:t>
      </w:r>
      <w:r>
        <w:rPr>
          <w:rFonts w:ascii="仿宋_GB2312" w:eastAsia="仿宋_GB2312"/>
          <w:sz w:val="30"/>
          <w:szCs w:val="30"/>
        </w:rPr>
        <w:t>4,820,000.00</w:t>
      </w:r>
      <w:r>
        <w:rPr>
          <w:rFonts w:hint="eastAsia" w:ascii="仿宋_GB2312" w:eastAsia="仿宋_GB2312"/>
          <w:sz w:val="30"/>
          <w:szCs w:val="30"/>
        </w:rPr>
        <w:t>元，比2017年增加</w:t>
      </w:r>
      <w:r>
        <w:rPr>
          <w:rFonts w:ascii="仿宋_GB2312" w:eastAsia="仿宋_GB2312"/>
          <w:sz w:val="30"/>
          <w:szCs w:val="30"/>
        </w:rPr>
        <w:t>0.00</w:t>
      </w:r>
      <w:r>
        <w:rPr>
          <w:rFonts w:hint="eastAsia" w:ascii="仿宋_GB2312" w:eastAsia="仿宋_GB2312"/>
          <w:sz w:val="30"/>
          <w:szCs w:val="30"/>
        </w:rPr>
        <w:t>元，增长0%。主要原因是：无变化。</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六、2018年度部门决算政府性基金预算财政拨款收入支出情况</w:t>
      </w:r>
    </w:p>
    <w:p>
      <w:pPr>
        <w:spacing w:line="580" w:lineRule="exact"/>
        <w:ind w:firstLine="600" w:firstLineChars="200"/>
        <w:rPr>
          <w:rFonts w:ascii="仿宋_GB2312" w:eastAsia="仿宋_GB2312"/>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2018年度无政府性基金预算财政拨款收入、支出和结转结余。</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七、</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政府采购情况</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2018年度无政府采购支出。</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八、</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预算绩效情况</w:t>
      </w:r>
    </w:p>
    <w:p>
      <w:pPr>
        <w:spacing w:line="580" w:lineRule="exact"/>
        <w:ind w:firstLine="600" w:firstLineChars="200"/>
        <w:rPr>
          <w:rFonts w:ascii="仿宋_GB2312" w:hAnsi="宋体" w:eastAsia="仿宋_GB2312" w:cs="仿宋_GB2312"/>
          <w:color w:val="000000"/>
          <w:sz w:val="30"/>
          <w:szCs w:val="30"/>
        </w:rPr>
      </w:pPr>
      <w:r>
        <w:rPr>
          <w:rFonts w:hint="eastAsia" w:ascii="仿宋_GB2312" w:eastAsia="仿宋_GB2312"/>
          <w:sz w:val="30"/>
          <w:szCs w:val="30"/>
        </w:rPr>
        <w:t>2018年度无实行预算绩效管理的项目。</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九、</w:t>
      </w:r>
      <w:r>
        <w:rPr>
          <w:rFonts w:hint="eastAsia" w:ascii="楷体_GB2312" w:eastAsia="楷体_GB2312"/>
          <w:b/>
          <w:sz w:val="30"/>
          <w:szCs w:val="30"/>
        </w:rPr>
        <w:t>2018年度</w:t>
      </w:r>
      <w:r>
        <w:rPr>
          <w:rFonts w:hint="eastAsia" w:ascii="楷体_GB2312" w:hAnsi="宋体" w:eastAsia="楷体_GB2312" w:cs="楷体"/>
          <w:b/>
          <w:bCs/>
          <w:color w:val="000000"/>
          <w:sz w:val="30"/>
          <w:szCs w:val="30"/>
        </w:rPr>
        <w:t>国有资产占有使用情况</w:t>
      </w:r>
    </w:p>
    <w:p>
      <w:pPr>
        <w:spacing w:line="580" w:lineRule="exact"/>
        <w:ind w:firstLine="600" w:firstLineChars="200"/>
        <w:jc w:val="both"/>
        <w:rPr>
          <w:rFonts w:ascii="仿宋_GB2312" w:hAnsi="宋体" w:eastAsia="仿宋_GB2312" w:cs="仿宋_GB2312"/>
          <w:color w:val="000000"/>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2018年度无国有资产占有使用情况。</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十、2018年度教育、医疗卫生、社会保障和就业、住房保障、涉农补贴等民生支出情况</w:t>
      </w:r>
    </w:p>
    <w:p>
      <w:pPr>
        <w:spacing w:line="580" w:lineRule="exact"/>
        <w:ind w:firstLine="600"/>
        <w:rPr>
          <w:rFonts w:ascii="仿宋_GB2312" w:hAnsi="宋体" w:eastAsia="仿宋_GB2312" w:cs="仿宋_GB2312"/>
          <w:color w:val="000000"/>
          <w:sz w:val="30"/>
          <w:szCs w:val="30"/>
        </w:rPr>
      </w:pPr>
      <w:r>
        <w:rPr>
          <w:rFonts w:hint="eastAsia" w:ascii="仿宋_GB2312" w:hAnsi="宋体" w:eastAsia="仿宋_GB2312"/>
          <w:sz w:val="30"/>
          <w:szCs w:val="30"/>
        </w:rPr>
        <w:t>中华人民共和国天津出入境边防检查总站</w:t>
      </w:r>
      <w:r>
        <w:rPr>
          <w:rFonts w:hint="eastAsia" w:ascii="仿宋_GB2312" w:eastAsia="仿宋_GB2312"/>
          <w:sz w:val="30"/>
          <w:szCs w:val="30"/>
        </w:rPr>
        <w:t>2018年度无教育、医疗卫生、社会保障和就业、住房保障、涉农补贴等民生支出情况。</w:t>
      </w:r>
    </w:p>
    <w:p>
      <w:pPr>
        <w:spacing w:line="580" w:lineRule="exact"/>
        <w:jc w:val="center"/>
        <w:rPr>
          <w:rFonts w:ascii="隶书" w:eastAsia="隶书"/>
          <w:sz w:val="30"/>
          <w:szCs w:val="30"/>
        </w:rPr>
      </w:pPr>
    </w:p>
    <w:p>
      <w:pPr>
        <w:spacing w:line="580" w:lineRule="exact"/>
        <w:jc w:val="center"/>
        <w:rPr>
          <w:rFonts w:ascii="黑体" w:hAnsi="黑体" w:eastAsia="黑体"/>
          <w:sz w:val="30"/>
          <w:szCs w:val="30"/>
        </w:rPr>
      </w:pPr>
      <w:r>
        <w:rPr>
          <w:rFonts w:hint="eastAsia" w:ascii="黑体" w:hAnsi="黑体" w:eastAsia="黑体"/>
          <w:sz w:val="30"/>
          <w:szCs w:val="30"/>
        </w:rPr>
        <w:t>第三部分  专业名词解释</w:t>
      </w:r>
    </w:p>
    <w:p>
      <w:pPr>
        <w:spacing w:line="580" w:lineRule="exact"/>
        <w:ind w:firstLine="600" w:firstLineChars="200"/>
        <w:rPr>
          <w:rFonts w:ascii="仿宋_GB2312" w:eastAsia="仿宋_GB2312"/>
          <w:sz w:val="30"/>
          <w:szCs w:val="30"/>
        </w:rPr>
      </w:pPr>
    </w:p>
    <w:p>
      <w:pPr>
        <w:spacing w:line="580" w:lineRule="exact"/>
        <w:ind w:firstLine="600" w:firstLineChars="200"/>
        <w:rPr>
          <w:rFonts w:ascii="仿宋_GB2312" w:eastAsia="仿宋_GB2312"/>
          <w:sz w:val="30"/>
          <w:szCs w:val="30"/>
        </w:rPr>
      </w:pPr>
      <w:r>
        <w:rPr>
          <w:rFonts w:hint="eastAsia" w:ascii="仿宋_GB2312" w:eastAsia="仿宋_GB2312"/>
          <w:sz w:val="30"/>
          <w:szCs w:val="30"/>
        </w:rPr>
        <w:t>部门决算。是指行政事业单位在年度终了，根据财政部门决算编审要求，在日常会计核算的基础上编制的、综合反映本单位预算执行结果和财务状况的总结性文件。</w:t>
      </w:r>
    </w:p>
    <w:p>
      <w:pPr>
        <w:spacing w:line="580" w:lineRule="exact"/>
        <w:ind w:firstLine="600" w:firstLineChars="200"/>
        <w:rPr>
          <w:rFonts w:ascii="仿宋_GB2312" w:eastAsia="仿宋_GB2312"/>
          <w:sz w:val="30"/>
          <w:szCs w:val="30"/>
        </w:rPr>
      </w:pPr>
    </w:p>
    <w:sectPr>
      <w:headerReference r:id="rId5" w:type="default"/>
      <w:pgSz w:w="11906" w:h="16838"/>
      <w:pgMar w:top="14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5F"/>
    <w:multiLevelType w:val="singleLevel"/>
    <w:tmpl w:val="5EF85A5F"/>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rsids>
    <w:rsidRoot w:val="11D802DB"/>
    <w:rsid w:val="000864BF"/>
    <w:rsid w:val="000937A6"/>
    <w:rsid w:val="000B4E39"/>
    <w:rsid w:val="00112C55"/>
    <w:rsid w:val="001179AF"/>
    <w:rsid w:val="0012059C"/>
    <w:rsid w:val="001829A0"/>
    <w:rsid w:val="002532F7"/>
    <w:rsid w:val="002566ED"/>
    <w:rsid w:val="0029704B"/>
    <w:rsid w:val="002E091E"/>
    <w:rsid w:val="003942CD"/>
    <w:rsid w:val="00436893"/>
    <w:rsid w:val="00465602"/>
    <w:rsid w:val="004A1361"/>
    <w:rsid w:val="00564446"/>
    <w:rsid w:val="005D3477"/>
    <w:rsid w:val="0077787E"/>
    <w:rsid w:val="007A3491"/>
    <w:rsid w:val="007F3679"/>
    <w:rsid w:val="007F448B"/>
    <w:rsid w:val="00853A72"/>
    <w:rsid w:val="0085671E"/>
    <w:rsid w:val="008567F8"/>
    <w:rsid w:val="008A6092"/>
    <w:rsid w:val="008C3474"/>
    <w:rsid w:val="008D64CE"/>
    <w:rsid w:val="00936468"/>
    <w:rsid w:val="0098387F"/>
    <w:rsid w:val="009A1381"/>
    <w:rsid w:val="009E0EF5"/>
    <w:rsid w:val="009F594F"/>
    <w:rsid w:val="00A12C57"/>
    <w:rsid w:val="00A444C6"/>
    <w:rsid w:val="00A557F8"/>
    <w:rsid w:val="00A72D67"/>
    <w:rsid w:val="00AA676A"/>
    <w:rsid w:val="00B210F5"/>
    <w:rsid w:val="00B53416"/>
    <w:rsid w:val="00BA2AC6"/>
    <w:rsid w:val="00BC5E52"/>
    <w:rsid w:val="00BE682B"/>
    <w:rsid w:val="00C47864"/>
    <w:rsid w:val="00C53602"/>
    <w:rsid w:val="00C77332"/>
    <w:rsid w:val="00C83D05"/>
    <w:rsid w:val="00C83F29"/>
    <w:rsid w:val="00CE7A0E"/>
    <w:rsid w:val="00D363DC"/>
    <w:rsid w:val="00DA3A83"/>
    <w:rsid w:val="00DA3E8F"/>
    <w:rsid w:val="00DD766C"/>
    <w:rsid w:val="00E576CC"/>
    <w:rsid w:val="00E8795B"/>
    <w:rsid w:val="00EB277E"/>
    <w:rsid w:val="00EB7B3B"/>
    <w:rsid w:val="00F2297B"/>
    <w:rsid w:val="00F3454D"/>
    <w:rsid w:val="00F3737B"/>
    <w:rsid w:val="01582EB3"/>
    <w:rsid w:val="02317CA1"/>
    <w:rsid w:val="032B2B72"/>
    <w:rsid w:val="03633F1C"/>
    <w:rsid w:val="03877CF5"/>
    <w:rsid w:val="04DA6E85"/>
    <w:rsid w:val="059D199E"/>
    <w:rsid w:val="068D56CD"/>
    <w:rsid w:val="0750320D"/>
    <w:rsid w:val="09CD6F6A"/>
    <w:rsid w:val="0ABD2EA9"/>
    <w:rsid w:val="0B0C0657"/>
    <w:rsid w:val="0BF51CAC"/>
    <w:rsid w:val="0DCA24E7"/>
    <w:rsid w:val="11D802DB"/>
    <w:rsid w:val="121401BA"/>
    <w:rsid w:val="122B009F"/>
    <w:rsid w:val="149264E6"/>
    <w:rsid w:val="15127621"/>
    <w:rsid w:val="156A2C3E"/>
    <w:rsid w:val="157A3189"/>
    <w:rsid w:val="1B0B6786"/>
    <w:rsid w:val="1C2E1750"/>
    <w:rsid w:val="1DA340AC"/>
    <w:rsid w:val="1E8146FC"/>
    <w:rsid w:val="1F6101B7"/>
    <w:rsid w:val="236906A5"/>
    <w:rsid w:val="25AD749C"/>
    <w:rsid w:val="25AE4162"/>
    <w:rsid w:val="26EC5D21"/>
    <w:rsid w:val="28994B2A"/>
    <w:rsid w:val="28CD1B01"/>
    <w:rsid w:val="290441D9"/>
    <w:rsid w:val="2AC83C03"/>
    <w:rsid w:val="2D2B1A30"/>
    <w:rsid w:val="2E6455AA"/>
    <w:rsid w:val="2E6E5875"/>
    <w:rsid w:val="2FFD4B55"/>
    <w:rsid w:val="32500429"/>
    <w:rsid w:val="33987EA4"/>
    <w:rsid w:val="33E55770"/>
    <w:rsid w:val="35F83418"/>
    <w:rsid w:val="36433E0B"/>
    <w:rsid w:val="36DF7E92"/>
    <w:rsid w:val="37C605ED"/>
    <w:rsid w:val="39D81DB4"/>
    <w:rsid w:val="3A875795"/>
    <w:rsid w:val="3C822FFF"/>
    <w:rsid w:val="3E551C1D"/>
    <w:rsid w:val="3EAA16DD"/>
    <w:rsid w:val="3EE7006C"/>
    <w:rsid w:val="3F043070"/>
    <w:rsid w:val="436E1D48"/>
    <w:rsid w:val="46762869"/>
    <w:rsid w:val="46800ECA"/>
    <w:rsid w:val="46D65DFF"/>
    <w:rsid w:val="49C60D15"/>
    <w:rsid w:val="4E776E4B"/>
    <w:rsid w:val="4EBE5040"/>
    <w:rsid w:val="4FA93361"/>
    <w:rsid w:val="50EB4351"/>
    <w:rsid w:val="567B70DA"/>
    <w:rsid w:val="59005937"/>
    <w:rsid w:val="596D5572"/>
    <w:rsid w:val="5A106A61"/>
    <w:rsid w:val="5B012DD6"/>
    <w:rsid w:val="5B4A303E"/>
    <w:rsid w:val="5B867F38"/>
    <w:rsid w:val="5CCB520D"/>
    <w:rsid w:val="5CDE5F6B"/>
    <w:rsid w:val="5CE729B2"/>
    <w:rsid w:val="5D072615"/>
    <w:rsid w:val="5D820B03"/>
    <w:rsid w:val="5DDC291B"/>
    <w:rsid w:val="5DE919D2"/>
    <w:rsid w:val="6043407E"/>
    <w:rsid w:val="605F74B4"/>
    <w:rsid w:val="617007B5"/>
    <w:rsid w:val="621870FC"/>
    <w:rsid w:val="62DA2A3D"/>
    <w:rsid w:val="65D920E1"/>
    <w:rsid w:val="66EC0C69"/>
    <w:rsid w:val="693E2FAD"/>
    <w:rsid w:val="6BA66029"/>
    <w:rsid w:val="6E2E2D6D"/>
    <w:rsid w:val="6E460B96"/>
    <w:rsid w:val="6F046708"/>
    <w:rsid w:val="6FB410D2"/>
    <w:rsid w:val="6FC54BEF"/>
    <w:rsid w:val="71411B5D"/>
    <w:rsid w:val="728E0BA0"/>
    <w:rsid w:val="75D160D9"/>
    <w:rsid w:val="762914BB"/>
    <w:rsid w:val="773A73AB"/>
    <w:rsid w:val="7A903B21"/>
    <w:rsid w:val="7CF21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spacing w:line="240" w:lineRule="atLeas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link w:val="3"/>
    <w:semiHidden/>
    <w:qFormat/>
    <w:uiPriority w:val="0"/>
    <w:rPr>
      <w:sz w:val="18"/>
      <w:szCs w:val="18"/>
    </w:rPr>
  </w:style>
  <w:style w:type="character" w:customStyle="1" w:styleId="7">
    <w:name w:val="页脚 Char"/>
    <w:link w:val="2"/>
    <w:semiHidden/>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1375</Words>
  <Characters>357</Characters>
  <Lines>2</Lines>
  <Paragraphs>3</Paragraphs>
  <TotalTime>0</TotalTime>
  <ScaleCrop>false</ScaleCrop>
  <LinksUpToDate>false</LinksUpToDate>
  <CharactersWithSpaces>1729</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2018-05-24T02:49:00Z</dcterms:created>
  <dc:creator>Administrator</dc:creator>
  <cp:lastModifiedBy>天津市和平区人民政府新兴街道办事处</cp:lastModifiedBy>
  <cp:lastPrinted>2017-05-23T09:34:00Z</cp:lastPrinted>
  <dcterms:modified xsi:type="dcterms:W3CDTF">2019-08-28T02:02:11Z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44DAD80760FC4822B64F6C496B19AB4B</vt:lpwstr>
  </property>
</Properties>
</file>