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913" w:rsidRPr="00FF47D2" w:rsidRDefault="00DA1913" w:rsidP="00DA1913">
      <w:pPr>
        <w:widowControl/>
        <w:spacing w:line="560" w:lineRule="exact"/>
        <w:rPr>
          <w:rFonts w:ascii="仿宋_GB2312" w:eastAsia="仿宋_GB2312" w:hint="eastAsia"/>
          <w:sz w:val="32"/>
          <w:szCs w:val="32"/>
        </w:rPr>
      </w:pPr>
    </w:p>
    <w:p w:rsidR="00DA1913" w:rsidRPr="00FF47D2" w:rsidRDefault="00DA1913" w:rsidP="00DA1913">
      <w:pPr>
        <w:snapToGrid w:val="0"/>
        <w:spacing w:line="560" w:lineRule="exact"/>
        <w:jc w:val="center"/>
        <w:rPr>
          <w:rFonts w:ascii="宋体" w:hAnsi="宋体" w:hint="eastAsia"/>
          <w:sz w:val="44"/>
          <w:szCs w:val="44"/>
        </w:rPr>
      </w:pPr>
      <w:r w:rsidRPr="00FF47D2">
        <w:rPr>
          <w:rFonts w:ascii="宋体" w:hAnsi="宋体" w:hint="eastAsia"/>
          <w:sz w:val="44"/>
          <w:szCs w:val="44"/>
        </w:rPr>
        <w:t>天津中环电子信息集团有限公司</w:t>
      </w:r>
    </w:p>
    <w:p w:rsidR="00DA1913" w:rsidRPr="00FF47D2" w:rsidRDefault="00DA1913" w:rsidP="00DA1913">
      <w:pPr>
        <w:snapToGrid w:val="0"/>
        <w:spacing w:line="560" w:lineRule="exact"/>
        <w:jc w:val="center"/>
        <w:rPr>
          <w:rFonts w:ascii="宋体" w:hAnsi="宋体" w:hint="eastAsia"/>
          <w:sz w:val="44"/>
          <w:szCs w:val="44"/>
        </w:rPr>
      </w:pPr>
      <w:r w:rsidRPr="00FF47D2">
        <w:rPr>
          <w:rFonts w:ascii="宋体" w:hAnsi="宋体" w:hint="eastAsia"/>
          <w:sz w:val="44"/>
          <w:szCs w:val="44"/>
        </w:rPr>
        <w:t>部门预决算公开规定</w:t>
      </w:r>
    </w:p>
    <w:p w:rsidR="00DA1913" w:rsidRPr="00FF47D2" w:rsidRDefault="00DA1913" w:rsidP="00DA1913">
      <w:pPr>
        <w:spacing w:line="560" w:lineRule="exact"/>
        <w:jc w:val="center"/>
        <w:rPr>
          <w:rFonts w:ascii="宋体" w:hAnsi="宋体" w:hint="eastAsia"/>
          <w:sz w:val="44"/>
          <w:szCs w:val="44"/>
        </w:rPr>
      </w:pPr>
    </w:p>
    <w:p w:rsidR="00DA1913" w:rsidRDefault="00DA1913" w:rsidP="00DA1913">
      <w:pPr>
        <w:pStyle w:val="a5"/>
        <w:snapToGrid w:val="0"/>
        <w:spacing w:line="560" w:lineRule="exact"/>
        <w:jc w:val="center"/>
        <w:rPr>
          <w:rFonts w:ascii="黑体" w:eastAsia="黑体" w:hAnsi="黑体"/>
          <w:color w:val="000000"/>
          <w:sz w:val="32"/>
          <w:szCs w:val="32"/>
        </w:rPr>
      </w:pPr>
      <w:proofErr w:type="spellStart"/>
      <w:r w:rsidRPr="00FF47D2">
        <w:rPr>
          <w:rFonts w:ascii="黑体" w:eastAsia="黑体" w:hAnsi="黑体" w:hint="eastAsia"/>
          <w:color w:val="000000"/>
          <w:sz w:val="32"/>
          <w:szCs w:val="32"/>
        </w:rPr>
        <w:t>第一章</w:t>
      </w:r>
      <w:proofErr w:type="spellEnd"/>
      <w:r>
        <w:rPr>
          <w:rFonts w:ascii="黑体" w:eastAsia="黑体" w:hAnsi="黑体"/>
          <w:color w:val="000000"/>
          <w:sz w:val="32"/>
          <w:szCs w:val="32"/>
        </w:rPr>
        <w:t xml:space="preserve">    </w:t>
      </w:r>
      <w:r w:rsidRPr="00FF47D2">
        <w:rPr>
          <w:rFonts w:ascii="黑体" w:eastAsia="黑体" w:hAnsi="黑体" w:hint="eastAsia"/>
          <w:color w:val="000000"/>
          <w:sz w:val="32"/>
          <w:szCs w:val="32"/>
        </w:rPr>
        <w:t>总   则</w:t>
      </w:r>
    </w:p>
    <w:p w:rsidR="00DA1913" w:rsidRPr="00FF47D2" w:rsidRDefault="00DA1913" w:rsidP="00DA1913">
      <w:pPr>
        <w:pStyle w:val="a5"/>
        <w:snapToGrid w:val="0"/>
        <w:spacing w:line="560" w:lineRule="exact"/>
        <w:jc w:val="center"/>
        <w:rPr>
          <w:rFonts w:ascii="黑体" w:eastAsia="黑体" w:hAnsi="黑体" w:hint="eastAsia"/>
          <w:color w:val="000000"/>
          <w:sz w:val="32"/>
          <w:szCs w:val="32"/>
        </w:rPr>
      </w:pP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第一条</w:t>
      </w:r>
      <w:r>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为做好集团公司部门预决算公开工作，根据《中华人民共和国预算法》、《国务院关于深化预算管理制度改革的决定》（国发〔2014〕45号）、《天津市预算审查监督条例》、《天津市人民政府关于印发天津市深化财税体制改革实施方案的通知》（津政发〔2014〕30号）、《天津市人民政府办公厅关于我市深化预算管理制度改革的实施意见》（津政办发〔2015〕93号）、《财政部关于印发&lt;地方预决算公开操作规程&gt;的通知》（财预〔2016〕143号）等规定，结合集团系统实际情况，制定本规定。</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第二条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本规定适用范围包括集团公司以及纳入集团公司部门预决算管理范围的事业单位。</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第三条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本规定所称部门预决算，是指经天津市财政局批复的部门预算、决算及报表（以下简称部门预决算），包括集团公司本级及所属预算单位的汇总数据。</w:t>
      </w:r>
    </w:p>
    <w:p w:rsidR="00DA1913" w:rsidRPr="00FF47D2" w:rsidRDefault="00DA1913" w:rsidP="00DA1913">
      <w:pPr>
        <w:widowControl/>
        <w:shd w:val="clear" w:color="auto" w:fill="FFFFFF"/>
        <w:tabs>
          <w:tab w:val="left" w:pos="284"/>
          <w:tab w:val="left" w:pos="8364"/>
        </w:tabs>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第四条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部门预决算公开原则：坚持以公开为常态、不公开为例外，除涉密信息外，经批复的预决算信息全部公开；坚持谁</w:t>
      </w:r>
      <w:r w:rsidRPr="00FF47D2">
        <w:rPr>
          <w:rFonts w:ascii="仿宋_GB2312" w:eastAsia="仿宋_GB2312" w:hAnsi="宋体" w:cs="宋体" w:hint="eastAsia"/>
          <w:color w:val="000000"/>
          <w:sz w:val="32"/>
          <w:szCs w:val="32"/>
        </w:rPr>
        <w:lastRenderedPageBreak/>
        <w:t>主管、谁公开、谁负责，切实履行公开职责，依法主动公开预决算信息。</w:t>
      </w:r>
    </w:p>
    <w:p w:rsidR="00DA1913" w:rsidRPr="00FF47D2" w:rsidRDefault="00DA1913" w:rsidP="00DA1913">
      <w:pPr>
        <w:widowControl/>
        <w:shd w:val="clear" w:color="auto" w:fill="FFFFFF"/>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第五条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部门预决算公开基本要求：公开及时、内容准确、形式规范。以问题为导向，重视公开实效，聚焦社会热点，回应公众关切。方便社会监督，公开内容公众找得着、看得懂、能监督。</w:t>
      </w:r>
    </w:p>
    <w:p w:rsidR="00DA1913" w:rsidRPr="00FF47D2" w:rsidRDefault="00DA1913" w:rsidP="00DA1913">
      <w:pPr>
        <w:widowControl/>
        <w:shd w:val="clear" w:color="auto" w:fill="FFFFFF"/>
        <w:spacing w:line="560" w:lineRule="exact"/>
        <w:ind w:firstLine="560"/>
        <w:rPr>
          <w:rFonts w:ascii="仿宋_GB2312" w:eastAsia="仿宋_GB2312" w:hAnsi="宋体" w:cs="宋体" w:hint="eastAsia"/>
          <w:color w:val="000000"/>
          <w:sz w:val="32"/>
          <w:szCs w:val="32"/>
        </w:rPr>
      </w:pPr>
    </w:p>
    <w:p w:rsidR="00DA1913" w:rsidRDefault="00DA1913" w:rsidP="00DA1913">
      <w:pPr>
        <w:pStyle w:val="a5"/>
        <w:snapToGrid w:val="0"/>
        <w:spacing w:line="560" w:lineRule="exact"/>
        <w:jc w:val="center"/>
        <w:rPr>
          <w:rFonts w:ascii="黑体" w:eastAsia="黑体" w:hAnsi="黑体"/>
          <w:color w:val="000000"/>
          <w:sz w:val="32"/>
          <w:szCs w:val="32"/>
        </w:rPr>
      </w:pPr>
      <w:proofErr w:type="spellStart"/>
      <w:r w:rsidRPr="00FF47D2">
        <w:rPr>
          <w:rFonts w:ascii="黑体" w:eastAsia="黑体" w:hAnsi="黑体" w:hint="eastAsia"/>
          <w:color w:val="000000"/>
          <w:sz w:val="32"/>
          <w:szCs w:val="32"/>
        </w:rPr>
        <w:t>第二章</w:t>
      </w:r>
      <w:proofErr w:type="spellEnd"/>
      <w:r>
        <w:rPr>
          <w:rFonts w:ascii="黑体" w:eastAsia="黑体" w:hAnsi="黑体"/>
          <w:color w:val="000000"/>
          <w:sz w:val="32"/>
          <w:szCs w:val="32"/>
        </w:rPr>
        <w:t xml:space="preserve">    </w:t>
      </w:r>
      <w:proofErr w:type="spellStart"/>
      <w:r w:rsidRPr="00FF47D2">
        <w:rPr>
          <w:rFonts w:ascii="黑体" w:eastAsia="黑体" w:hAnsi="黑体" w:hint="eastAsia"/>
          <w:color w:val="000000"/>
          <w:sz w:val="32"/>
          <w:szCs w:val="32"/>
        </w:rPr>
        <w:t>公开要求</w:t>
      </w:r>
      <w:proofErr w:type="spellEnd"/>
    </w:p>
    <w:p w:rsidR="00DA1913" w:rsidRPr="00FF47D2" w:rsidRDefault="00DA1913" w:rsidP="00DA1913">
      <w:pPr>
        <w:pStyle w:val="a5"/>
        <w:snapToGrid w:val="0"/>
        <w:spacing w:line="560" w:lineRule="exact"/>
        <w:jc w:val="center"/>
        <w:rPr>
          <w:rFonts w:ascii="黑体" w:eastAsia="黑体" w:hAnsi="黑体" w:hint="eastAsia"/>
          <w:color w:val="000000"/>
          <w:sz w:val="32"/>
          <w:szCs w:val="32"/>
        </w:rPr>
      </w:pP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第六条</w:t>
      </w:r>
      <w:r w:rsidRPr="00FF47D2">
        <w:rPr>
          <w:rFonts w:ascii="仿宋_GB2312" w:eastAsia="仿宋_GB2312" w:hAnsi="微软雅黑" w:cs="宋体" w:hint="eastAsia"/>
          <w:color w:val="333333"/>
          <w:sz w:val="32"/>
          <w:szCs w:val="32"/>
        </w:rPr>
        <w:t xml:space="preserve">  </w:t>
      </w:r>
      <w:r w:rsidRPr="00FF47D2">
        <w:rPr>
          <w:rFonts w:ascii="仿宋_GB2312" w:eastAsia="仿宋_GB2312" w:hAnsi="宋体" w:cs="宋体" w:hint="eastAsia"/>
          <w:color w:val="000000"/>
          <w:sz w:val="32"/>
          <w:szCs w:val="32"/>
        </w:rPr>
        <w:t>集团公司负责制定本部门预决算公开规定，组织各预算单位开展单位预决算公开工作，负责向社会公开本部门预决算，并向市财政局报告本部门预决算公开情况。</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rPr>
        <w:t>各预算单位负责本单位预决算公开工作，向社会公开本单位预决算，并向集团公司报告本单位预决算公开情况。</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第七条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集团公司对市财政局批复的预决算内容，除涉密信息外，全部公开。公开内容根据当年市财政局对部门预决算、“三公”经费预决算具体报表、填报说明等要求填报。</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rPr>
        <w:t xml:space="preserve">各预算单位对集团公司预决算批复内容，除涉密信息外，全部公开。公开内容根据集团公司对单位预决算、“三公”经费预决算具体报表、填报说明等要求填报。 </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rPr>
        <w:t>对属于公开范围的部门或单位预决算报表，没有数据的表格应当列出空表并说明。</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lastRenderedPageBreak/>
        <w:t>第八条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集团公司自接到市财政局预决算批复起15日内批复所属预算单位预决算，并报市财政局备案。</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第九条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集团公司自市财政局预算批复之日起20日内向社会公开本部门预决算信息，并报市财政局备案。</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rPr>
        <w:t>各预算单位自集团公司预算批复之日起20日内向社会公开本单位预决算信息，并报集团公司备案。</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第十条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集团公司及各预算单位应通过本单位门户网站的预决算公开专栏，向社会公开部门及单位预决算，并永久保留，不得修改或删除。</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rPr>
        <w:t>预算单位无门户网站可委托上级单位公开单位预决算，并应积极创造信息化条件，设立本单位门户网站。</w:t>
      </w:r>
    </w:p>
    <w:p w:rsidR="00DA1913" w:rsidRPr="00FF47D2" w:rsidRDefault="00DA1913" w:rsidP="00DA1913">
      <w:pPr>
        <w:widowControl/>
        <w:shd w:val="clear" w:color="auto" w:fill="FFFFFF"/>
        <w:spacing w:line="560" w:lineRule="exact"/>
        <w:ind w:firstLine="560"/>
        <w:rPr>
          <w:rFonts w:ascii="仿宋_GB2312" w:eastAsia="仿宋_GB2312" w:hAnsi="宋体" w:cs="宋体" w:hint="eastAsia"/>
          <w:color w:val="000000"/>
          <w:sz w:val="32"/>
          <w:szCs w:val="32"/>
        </w:rPr>
      </w:pPr>
      <w:r w:rsidRPr="00FF47D2">
        <w:rPr>
          <w:rFonts w:ascii="仿宋_GB2312" w:eastAsia="仿宋_GB2312" w:hAnsi="宋体" w:cs="宋体" w:hint="eastAsia"/>
          <w:color w:val="000000"/>
          <w:sz w:val="32"/>
          <w:szCs w:val="32"/>
          <w:bdr w:val="none" w:sz="0" w:space="0" w:color="auto" w:frame="1"/>
        </w:rPr>
        <w:t> </w:t>
      </w:r>
    </w:p>
    <w:p w:rsidR="00DA1913" w:rsidRPr="00FF47D2" w:rsidRDefault="00DA1913" w:rsidP="00DA1913">
      <w:pPr>
        <w:pStyle w:val="a5"/>
        <w:snapToGrid w:val="0"/>
        <w:spacing w:line="560" w:lineRule="exact"/>
        <w:jc w:val="center"/>
        <w:rPr>
          <w:rFonts w:ascii="黑体" w:eastAsia="黑体" w:hAnsi="黑体" w:hint="eastAsia"/>
          <w:color w:val="000000"/>
          <w:sz w:val="32"/>
          <w:szCs w:val="32"/>
        </w:rPr>
      </w:pPr>
      <w:proofErr w:type="spellStart"/>
      <w:r w:rsidRPr="00FF47D2">
        <w:rPr>
          <w:rFonts w:ascii="黑体" w:eastAsia="黑体" w:hAnsi="黑体" w:hint="eastAsia"/>
          <w:color w:val="000000"/>
          <w:sz w:val="32"/>
          <w:szCs w:val="32"/>
        </w:rPr>
        <w:t>第三章</w:t>
      </w:r>
      <w:proofErr w:type="spellEnd"/>
      <w:r>
        <w:rPr>
          <w:rFonts w:ascii="黑体" w:eastAsia="黑体" w:hAnsi="黑体"/>
          <w:color w:val="000000"/>
          <w:sz w:val="32"/>
          <w:szCs w:val="32"/>
        </w:rPr>
        <w:t xml:space="preserve">    </w:t>
      </w:r>
      <w:proofErr w:type="spellStart"/>
      <w:r w:rsidRPr="00FF47D2">
        <w:rPr>
          <w:rFonts w:ascii="黑体" w:eastAsia="黑体" w:hAnsi="黑体" w:hint="eastAsia"/>
          <w:color w:val="000000"/>
          <w:sz w:val="32"/>
          <w:szCs w:val="32"/>
        </w:rPr>
        <w:t>涉密及舆情管理</w:t>
      </w:r>
      <w:proofErr w:type="spellEnd"/>
    </w:p>
    <w:p w:rsidR="00DA1913" w:rsidRPr="00FF47D2" w:rsidRDefault="00DA1913" w:rsidP="00DA1913">
      <w:pPr>
        <w:spacing w:line="560" w:lineRule="exact"/>
        <w:ind w:firstLineChars="200" w:firstLine="640"/>
        <w:rPr>
          <w:rFonts w:ascii="仿宋_GB2312" w:eastAsia="仿宋_GB2312" w:hint="eastAsia"/>
          <w:sz w:val="32"/>
          <w:szCs w:val="32"/>
        </w:rPr>
      </w:pPr>
    </w:p>
    <w:p w:rsidR="00DA1913" w:rsidRPr="00FF47D2" w:rsidRDefault="00DA1913" w:rsidP="00DA1913">
      <w:pPr>
        <w:spacing w:line="560" w:lineRule="exact"/>
        <w:ind w:firstLineChars="200" w:firstLine="640"/>
        <w:rPr>
          <w:rFonts w:ascii="仿宋_GB2312" w:eastAsia="仿宋_GB2312" w:hint="eastAsia"/>
          <w:sz w:val="32"/>
          <w:szCs w:val="32"/>
        </w:rPr>
      </w:pPr>
      <w:r w:rsidRPr="00FF47D2">
        <w:rPr>
          <w:rFonts w:ascii="黑体" w:eastAsia="黑体" w:hAnsi="黑体" w:cs="宋体" w:hint="eastAsia"/>
          <w:color w:val="000000"/>
          <w:sz w:val="32"/>
          <w:szCs w:val="32"/>
        </w:rPr>
        <w:t>第十一条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及各预算单位要做好预决算公开保密审查工作，对预决算中涉及国家秘密、商业秘密、个人隐私的信息，依法不予公开。对部分内容涉及国家秘密、商业秘密、个人隐私的，应在支出总额不变的情况下区分处理，创造条件将不涉密内容公开。</w:t>
      </w:r>
      <w:r w:rsidRPr="00FF47D2">
        <w:rPr>
          <w:rFonts w:ascii="仿宋_GB2312" w:eastAsia="仿宋_GB2312" w:hint="eastAsia"/>
          <w:sz w:val="32"/>
          <w:szCs w:val="32"/>
        </w:rPr>
        <w:t xml:space="preserve"> </w:t>
      </w:r>
    </w:p>
    <w:p w:rsidR="00DA1913" w:rsidRPr="00FF47D2" w:rsidRDefault="00DA1913" w:rsidP="00DA1913">
      <w:pPr>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第十二条</w:t>
      </w:r>
      <w:r w:rsidRPr="00FF47D2">
        <w:rPr>
          <w:rFonts w:ascii="仿宋_GB2312" w:eastAsia="仿宋_GB2312" w:hint="eastAsia"/>
          <w:sz w:val="32"/>
          <w:szCs w:val="32"/>
        </w:rPr>
        <w:t xml:space="preserve"> </w:t>
      </w:r>
      <w:r w:rsidRPr="00FF47D2">
        <w:rPr>
          <w:rFonts w:ascii="仿宋_GB2312" w:eastAsia="仿宋_GB2312" w:hAnsi="宋体" w:cs="宋体" w:hint="eastAsia"/>
          <w:color w:val="000000"/>
          <w:sz w:val="32"/>
          <w:szCs w:val="32"/>
        </w:rPr>
        <w:t>集团公司及各预算单位要加强社会反映评估和舆情引导，实事求是、准确全面反映预算信息。公开前，要对可能出现的社会反映进行预判，做好应对预案；公开后，要跟踪舆情，</w:t>
      </w:r>
      <w:r w:rsidRPr="00FF47D2">
        <w:rPr>
          <w:rFonts w:ascii="仿宋_GB2312" w:eastAsia="仿宋_GB2312" w:hAnsi="宋体" w:cs="宋体" w:hint="eastAsia"/>
          <w:color w:val="000000"/>
          <w:sz w:val="32"/>
          <w:szCs w:val="32"/>
        </w:rPr>
        <w:lastRenderedPageBreak/>
        <w:t xml:space="preserve">主动引导，及时解疑释惑，避免公众误解。 </w:t>
      </w:r>
    </w:p>
    <w:p w:rsidR="00DA1913" w:rsidRPr="00FF47D2" w:rsidRDefault="00DA1913" w:rsidP="00DA1913">
      <w:pPr>
        <w:spacing w:line="560" w:lineRule="exact"/>
        <w:ind w:firstLineChars="200" w:firstLine="640"/>
        <w:rPr>
          <w:rFonts w:ascii="仿宋_GB2312" w:eastAsia="仿宋_GB2312" w:hint="eastAsia"/>
          <w:sz w:val="32"/>
          <w:szCs w:val="32"/>
        </w:rPr>
      </w:pPr>
    </w:p>
    <w:p w:rsidR="00DA1913" w:rsidRDefault="00DA1913" w:rsidP="00DA1913">
      <w:pPr>
        <w:pStyle w:val="a5"/>
        <w:snapToGrid w:val="0"/>
        <w:spacing w:line="560" w:lineRule="exact"/>
        <w:jc w:val="center"/>
        <w:rPr>
          <w:rFonts w:ascii="黑体" w:eastAsia="黑体" w:hAnsi="黑体"/>
          <w:color w:val="000000"/>
          <w:sz w:val="32"/>
          <w:szCs w:val="32"/>
        </w:rPr>
      </w:pPr>
      <w:proofErr w:type="spellStart"/>
      <w:r w:rsidRPr="00FF47D2">
        <w:rPr>
          <w:rFonts w:ascii="黑体" w:eastAsia="黑体" w:hAnsi="黑体" w:hint="eastAsia"/>
          <w:color w:val="000000"/>
          <w:sz w:val="32"/>
          <w:szCs w:val="32"/>
        </w:rPr>
        <w:t>第四章</w:t>
      </w:r>
      <w:proofErr w:type="spellEnd"/>
      <w:r>
        <w:rPr>
          <w:rFonts w:ascii="黑体" w:eastAsia="黑体" w:hAnsi="黑体"/>
          <w:color w:val="000000"/>
          <w:sz w:val="32"/>
          <w:szCs w:val="32"/>
        </w:rPr>
        <w:t xml:space="preserve">    </w:t>
      </w:r>
      <w:r w:rsidRPr="00FF47D2">
        <w:rPr>
          <w:rFonts w:ascii="黑体" w:eastAsia="黑体" w:hAnsi="黑体" w:hint="eastAsia"/>
          <w:color w:val="000000"/>
          <w:sz w:val="32"/>
          <w:szCs w:val="32"/>
        </w:rPr>
        <w:t>附   则</w:t>
      </w:r>
    </w:p>
    <w:p w:rsidR="00DA1913" w:rsidRPr="00FF47D2" w:rsidRDefault="00DA1913" w:rsidP="00DA1913">
      <w:pPr>
        <w:pStyle w:val="a5"/>
        <w:snapToGrid w:val="0"/>
        <w:spacing w:line="560" w:lineRule="exact"/>
        <w:jc w:val="center"/>
        <w:rPr>
          <w:rFonts w:ascii="黑体" w:eastAsia="黑体" w:hAnsi="黑体" w:hint="eastAsia"/>
          <w:color w:val="000000"/>
          <w:sz w:val="32"/>
          <w:szCs w:val="32"/>
        </w:rPr>
      </w:pPr>
    </w:p>
    <w:p w:rsidR="00DA1913" w:rsidRPr="00FF47D2" w:rsidRDefault="00DA1913" w:rsidP="00DA1913">
      <w:pPr>
        <w:widowControl/>
        <w:shd w:val="clear" w:color="auto" w:fill="FFFFFF"/>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第十三条</w:t>
      </w:r>
      <w:r w:rsidRPr="00FF47D2">
        <w:rPr>
          <w:rFonts w:ascii="仿宋_GB2312" w:eastAsia="仿宋_GB2312" w:hAnsi="仿宋" w:cs="宋体" w:hint="eastAsia"/>
          <w:color w:val="000000"/>
          <w:sz w:val="32"/>
          <w:szCs w:val="32"/>
          <w:bdr w:val="none" w:sz="0" w:space="0" w:color="auto" w:frame="1"/>
        </w:rPr>
        <w:t xml:space="preserve"> </w:t>
      </w:r>
      <w:r w:rsidRPr="00FF47D2">
        <w:rPr>
          <w:rFonts w:ascii="仿宋_GB2312" w:eastAsia="仿宋_GB2312" w:hAnsi="宋体" w:cs="宋体" w:hint="eastAsia"/>
          <w:color w:val="000000"/>
          <w:sz w:val="32"/>
          <w:szCs w:val="32"/>
        </w:rPr>
        <w:t>本规定自印发之日起执行。各预算单位可结合实际情况制定具体实施办法。</w:t>
      </w:r>
    </w:p>
    <w:p w:rsidR="00DA1913" w:rsidRPr="00FF47D2" w:rsidRDefault="00DA1913" w:rsidP="00DA1913">
      <w:pPr>
        <w:widowControl/>
        <w:shd w:val="clear" w:color="auto" w:fill="FFFFFF"/>
        <w:spacing w:line="560" w:lineRule="exact"/>
        <w:ind w:firstLineChars="200" w:firstLine="640"/>
        <w:rPr>
          <w:rFonts w:ascii="仿宋_GB2312" w:eastAsia="仿宋_GB2312" w:hAnsi="宋体" w:cs="宋体" w:hint="eastAsia"/>
          <w:color w:val="000000"/>
          <w:sz w:val="32"/>
          <w:szCs w:val="32"/>
        </w:rPr>
      </w:pPr>
      <w:r w:rsidRPr="00FF47D2">
        <w:rPr>
          <w:rFonts w:ascii="黑体" w:eastAsia="黑体" w:hAnsi="黑体" w:cs="宋体" w:hint="eastAsia"/>
          <w:color w:val="000000"/>
          <w:sz w:val="32"/>
          <w:szCs w:val="32"/>
        </w:rPr>
        <w:t>第十四条</w:t>
      </w:r>
      <w:r w:rsidRPr="00FF47D2">
        <w:rPr>
          <w:rFonts w:ascii="仿宋_GB2312" w:eastAsia="仿宋_GB2312" w:hAnsi="仿宋" w:cs="宋体" w:hint="eastAsia"/>
          <w:color w:val="000000"/>
          <w:sz w:val="32"/>
          <w:szCs w:val="32"/>
          <w:bdr w:val="none" w:sz="0" w:space="0" w:color="auto" w:frame="1"/>
        </w:rPr>
        <w:t xml:space="preserve"> </w:t>
      </w:r>
      <w:r w:rsidRPr="00FF47D2">
        <w:rPr>
          <w:rFonts w:ascii="仿宋_GB2312" w:eastAsia="仿宋_GB2312" w:hAnsi="宋体" w:cs="宋体" w:hint="eastAsia"/>
          <w:color w:val="000000"/>
          <w:sz w:val="32"/>
          <w:szCs w:val="32"/>
        </w:rPr>
        <w:t>本规定由集团公司财务部负责解释。</w:t>
      </w:r>
      <w:r>
        <w:rPr>
          <w:rFonts w:ascii="仿宋_GB2312" w:eastAsia="仿宋_GB2312" w:hAnsi="宋体" w:hint="eastAsia"/>
          <w:noProof/>
          <w:sz w:val="32"/>
          <w:szCs w:val="32"/>
        </w:rPr>
        <w:pict>
          <v:rect id="_x0000_s2050" style="position:absolute;left:0;text-align:left;margin-left:0;margin-top:0;width:444.1pt;height:36.35pt;rotation:-360;z-index:251660288;mso-position-horizontal-relative:margin;mso-position-vertical:bottom;mso-position-vertical-relative:margin;mso-width-relative:margin;mso-height-relative:margin" o:allowincell="f" filled="f" fillcolor="#4f81bd" stroked="f">
            <v:imagedata embosscolor="shadow add(51)"/>
            <v:shadow type="emboss" color="lineOrFill darken(153)" color2="shadow add(102)" offset="1pt,1pt"/>
            <v:textbox style="mso-next-textbox:#_x0000_s2050" inset="0,0,18pt,0">
              <w:txbxContent>
                <w:p w:rsidR="00DA1913" w:rsidRPr="00475702" w:rsidRDefault="00DA1913" w:rsidP="00DA1913">
                  <w:pPr>
                    <w:pBdr>
                      <w:left w:val="single" w:sz="12" w:space="10" w:color="7BA0CD"/>
                    </w:pBdr>
                    <w:spacing w:line="20" w:lineRule="atLeast"/>
                    <w:rPr>
                      <w:i/>
                      <w:iCs/>
                      <w:color w:val="4F81BD"/>
                      <w:sz w:val="10"/>
                      <w:szCs w:val="10"/>
                    </w:rPr>
                  </w:pPr>
                </w:p>
              </w:txbxContent>
            </v:textbox>
            <w10:wrap type="square" anchorx="margin" anchory="margin"/>
          </v:rect>
        </w:pict>
      </w:r>
    </w:p>
    <w:p w:rsidR="0088641C" w:rsidRPr="00DA1913" w:rsidRDefault="0088641C"/>
    <w:sectPr w:rsidR="0088641C" w:rsidRPr="00DA1913" w:rsidSect="00FF47D2">
      <w:footerReference w:type="even" r:id="rId6"/>
      <w:footerReference w:type="default" r:id="rId7"/>
      <w:pgSz w:w="11906" w:h="16838"/>
      <w:pgMar w:top="2098" w:right="1474" w:bottom="2098" w:left="1588" w:header="851" w:footer="1247"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1913" w:rsidRDefault="00DA1913" w:rsidP="00DA1913">
      <w:r>
        <w:separator/>
      </w:r>
    </w:p>
  </w:endnote>
  <w:endnote w:type="continuationSeparator" w:id="0">
    <w:p w:rsidR="00DA1913" w:rsidRDefault="00DA1913" w:rsidP="00DA19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7D2" w:rsidRPr="00FF47D2" w:rsidRDefault="00DA1913" w:rsidP="00FF47D2">
    <w:pPr>
      <w:pStyle w:val="a4"/>
      <w:ind w:firstLineChars="100" w:firstLine="280"/>
      <w:rPr>
        <w:rFonts w:ascii="宋体" w:hAnsi="宋体"/>
        <w:sz w:val="28"/>
        <w:szCs w:val="28"/>
      </w:rPr>
    </w:pPr>
    <w:r w:rsidRPr="00FF47D2">
      <w:rPr>
        <w:rFonts w:ascii="宋体" w:hAnsi="宋体"/>
        <w:sz w:val="28"/>
        <w:szCs w:val="28"/>
      </w:rPr>
      <w:fldChar w:fldCharType="begin"/>
    </w:r>
    <w:r w:rsidRPr="00FF47D2">
      <w:rPr>
        <w:rFonts w:ascii="宋体" w:hAnsi="宋体"/>
        <w:sz w:val="28"/>
        <w:szCs w:val="28"/>
      </w:rPr>
      <w:instrText>PAGE   \* MERGEFORMAT</w:instrText>
    </w:r>
    <w:r w:rsidRPr="00FF47D2">
      <w:rPr>
        <w:rFonts w:ascii="宋体" w:hAnsi="宋体"/>
        <w:sz w:val="28"/>
        <w:szCs w:val="28"/>
      </w:rPr>
      <w:fldChar w:fldCharType="separate"/>
    </w:r>
    <w:r w:rsidRPr="007C243D">
      <w:rPr>
        <w:rFonts w:ascii="宋体" w:hAnsi="宋体"/>
        <w:noProof/>
        <w:sz w:val="28"/>
        <w:szCs w:val="28"/>
        <w:lang w:val="zh-CN"/>
      </w:rPr>
      <w:t>-</w:t>
    </w:r>
    <w:r>
      <w:rPr>
        <w:rFonts w:ascii="宋体" w:hAnsi="宋体"/>
        <w:noProof/>
        <w:sz w:val="28"/>
        <w:szCs w:val="28"/>
      </w:rPr>
      <w:t xml:space="preserve"> 2 -</w:t>
    </w:r>
    <w:r w:rsidRPr="00FF47D2">
      <w:rPr>
        <w:rFonts w:ascii="宋体" w:hAnsi="宋体"/>
        <w:sz w:val="28"/>
        <w:szCs w:val="28"/>
      </w:rPr>
      <w:fldChar w:fldCharType="end"/>
    </w:r>
  </w:p>
  <w:p w:rsidR="00F931CC" w:rsidRDefault="00DA191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7D2" w:rsidRPr="00FF47D2" w:rsidRDefault="00DA1913" w:rsidP="00FF47D2">
    <w:pPr>
      <w:pStyle w:val="a4"/>
      <w:ind w:right="280"/>
      <w:jc w:val="right"/>
      <w:rPr>
        <w:rFonts w:ascii="宋体" w:hAnsi="宋体"/>
        <w:sz w:val="28"/>
        <w:szCs w:val="28"/>
      </w:rPr>
    </w:pPr>
    <w:r w:rsidRPr="00FF47D2">
      <w:rPr>
        <w:rFonts w:ascii="宋体" w:hAnsi="宋体"/>
        <w:sz w:val="28"/>
        <w:szCs w:val="28"/>
      </w:rPr>
      <w:fldChar w:fldCharType="begin"/>
    </w:r>
    <w:r w:rsidRPr="00FF47D2">
      <w:rPr>
        <w:rFonts w:ascii="宋体" w:hAnsi="宋体"/>
        <w:sz w:val="28"/>
        <w:szCs w:val="28"/>
      </w:rPr>
      <w:instrText>PAGE   \* MERGEFORMAT</w:instrText>
    </w:r>
    <w:r w:rsidRPr="00FF47D2">
      <w:rPr>
        <w:rFonts w:ascii="宋体" w:hAnsi="宋体"/>
        <w:sz w:val="28"/>
        <w:szCs w:val="28"/>
      </w:rPr>
      <w:fldChar w:fldCharType="separate"/>
    </w:r>
    <w:r w:rsidRPr="00DA1913">
      <w:rPr>
        <w:rFonts w:ascii="宋体" w:hAnsi="宋体"/>
        <w:noProof/>
        <w:sz w:val="28"/>
        <w:szCs w:val="28"/>
        <w:lang w:val="zh-CN"/>
      </w:rPr>
      <w:t>-</w:t>
    </w:r>
    <w:r>
      <w:rPr>
        <w:rFonts w:ascii="宋体" w:hAnsi="宋体"/>
        <w:noProof/>
        <w:sz w:val="28"/>
        <w:szCs w:val="28"/>
      </w:rPr>
      <w:t xml:space="preserve"> 4 -</w:t>
    </w:r>
    <w:r w:rsidRPr="00FF47D2">
      <w:rPr>
        <w:rFonts w:ascii="宋体" w:hAnsi="宋体"/>
        <w:sz w:val="28"/>
        <w:szCs w:val="28"/>
      </w:rPr>
      <w:fldChar w:fldCharType="end"/>
    </w:r>
  </w:p>
  <w:p w:rsidR="00F931CC" w:rsidRDefault="00DA191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1913" w:rsidRDefault="00DA1913" w:rsidP="00DA1913">
      <w:r>
        <w:separator/>
      </w:r>
    </w:p>
  </w:footnote>
  <w:footnote w:type="continuationSeparator" w:id="0">
    <w:p w:rsidR="00DA1913" w:rsidRDefault="00DA1913" w:rsidP="00DA19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1913"/>
    <w:rsid w:val="00372C1C"/>
    <w:rsid w:val="0088641C"/>
    <w:rsid w:val="00DA19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91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191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A1913"/>
    <w:rPr>
      <w:sz w:val="18"/>
      <w:szCs w:val="18"/>
    </w:rPr>
  </w:style>
  <w:style w:type="paragraph" w:styleId="a4">
    <w:name w:val="footer"/>
    <w:basedOn w:val="a"/>
    <w:link w:val="Char0"/>
    <w:uiPriority w:val="99"/>
    <w:unhideWhenUsed/>
    <w:rsid w:val="00DA191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A1913"/>
    <w:rPr>
      <w:sz w:val="18"/>
      <w:szCs w:val="18"/>
    </w:rPr>
  </w:style>
  <w:style w:type="paragraph" w:styleId="a5">
    <w:name w:val="Plain Text"/>
    <w:basedOn w:val="a"/>
    <w:link w:val="Char1"/>
    <w:rsid w:val="00DA1913"/>
    <w:pPr>
      <w:widowControl/>
      <w:jc w:val="left"/>
    </w:pPr>
    <w:rPr>
      <w:rFonts w:ascii="宋体" w:hAnsi="宋体"/>
      <w:kern w:val="0"/>
      <w:sz w:val="24"/>
      <w:lang/>
    </w:rPr>
  </w:style>
  <w:style w:type="character" w:customStyle="1" w:styleId="Char1">
    <w:name w:val="纯文本 Char"/>
    <w:basedOn w:val="a0"/>
    <w:link w:val="a5"/>
    <w:rsid w:val="00DA1913"/>
    <w:rPr>
      <w:rFonts w:ascii="宋体" w:eastAsia="宋体" w:hAnsi="宋体" w:cs="Times New Roman"/>
      <w:kern w:val="0"/>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217</Words>
  <Characters>1241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林燕</dc:creator>
  <cp:keywords/>
  <dc:description/>
  <cp:lastModifiedBy>林燕</cp:lastModifiedBy>
  <cp:revision>2</cp:revision>
  <dcterms:created xsi:type="dcterms:W3CDTF">2019-08-12T03:56:00Z</dcterms:created>
  <dcterms:modified xsi:type="dcterms:W3CDTF">2019-08-12T03:57:00Z</dcterms:modified>
</cp:coreProperties>
</file>