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天津市建工集团（控股）有限公司</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天津市建工集团（控股）有限公司主要职现是保障改制前退休人员的养老、福利问题。</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天津市建工集团（控股）有限公司内设2个职能科室。纳入天津市建工集团（控股）有限公司2023年度部门决算编制范围的单位包括：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1.天津市建工集团（控股）有限公司2023年度政府性基金预算财政拨款收入支出决算表为空表。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天津市建工集团（控股）有限公司2023年度国有资本经营预算财政拨款收入支出决算表为空表。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天津市建工集团（控股）有限公司2023年度财政拨款“三公”经费支出决算表为空表。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天津市建工集团（控股）有限公司2023年度收入、支出决算总计</w:t>
      </w:r>
      <w:r>
        <w:rPr>
          <w:rFonts w:hint="eastAsia" w:ascii="Times New Roman" w:hAnsi="Times New Roman" w:eastAsia="仿宋_GB2312" w:cs="仿宋_GB2312"/>
          <w:sz w:val="30"/>
          <w:szCs w:val="30"/>
          <w:highlight w:val="none"/>
          <w:lang w:eastAsia="zh-CN"/>
        </w:rPr>
        <w:t>1,767,514.80元，与2022年度相比，收、支总计各减少71,943,775.90元，下降97.6%，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：原下属单位天津市建筑工程职工大学和天津市建筑工程学校转隶到教委。</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1,767,514.80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减少71,759,935.33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原下属单位天津市建筑工程职工大学和天津市建筑工程学校转隶到教委。</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1,767,514.80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1,767,514.80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55,187,858.80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原下属单位天津市建筑工程职工大学和天津市建筑工程学校转隶到教委。</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277,630.00元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15.71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1,489,884.80元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占84.29%。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天津市建工集团（控股）有限公司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1,767,514.80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41,832,592.06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95.95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原下属单位天津市建筑工程职工大学和天津市建筑工程学校转隶到教委。</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计1,767,514.80元，占本年支出合计的100.0%，与2022年度相比，一般公共预算财政拨款支出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41,715,592.06元，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95.94%，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：原下属单位天津市建筑工程职工大学和天津市建筑工程学校转隶到教委。</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1,767,514.80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社会保障和就业支出（类）支出1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514.8元，占100%。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327,000.00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1,767,514.80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540.52%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社会保障和就业支出（类）（类）行政事业单位养老出（款）行政单位离退休（项）年初预算为327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514.8 元，完成年初预算的540.52 %，决算数大于年初预算数的主要原因是年初预算未列支抚恤金，年中追加预算。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天津市建工集团（控股）有限公司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277,630.00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38,079,526.86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原下属单位天津市建筑工程职工大学和天津市建筑工程学校转隶到教委。</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277,343.00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287.00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天津市建工集团（控股）有限公司2023年度无政府性基金预算财政拨款收入、支出和结转结余。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天津市建工集团（控股）有限公司2023年度无国有资本经营预算财政拨款收入、支出和结转结余。</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天津市建工集团（控股）有限公司2023年度无政府采购支出。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天津市建工集团（控股）有限公司2023年度无国有资金产占有使用情况。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根据预算绩效管理要求，天津市建工集团（控股）有限公司2023年度已对</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884.8元，自评结果已随部门决算一并公开。本部门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天津市建工集团（控股）有限公司不属于乡、镇、街级单位，不涉及公开2023年度教育、医疗卫生、社会保障和就业、住房保障、涉农补贴等民生支出情况。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501F23"/>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6</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2024-08-02T06:09:05Z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32B6A3D8670B4EB39B502AC97FFCE0FC_13</vt:lpwstr>
  </property>
</Properties>
</file>