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天津百利机械装备集团有限公司</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天津百利机械装备集团有限公司负责所属4个二级预算单位的预算报表的录入编制及汇总上报，预算资金的申请及拨付，财政文件的转发。</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天津百利机械装备集团有限公司内设11个职能处室</w:t>
      </w:r>
      <w:r>
        <w:rPr>
          <w:rFonts w:hint="eastAsia" w:ascii="Times New Roman" w:hAnsi="Times New Roman" w:eastAsia="仿宋_GB2312" w:cs="仿宋_GB2312"/>
          <w:kern w:val="0"/>
          <w:sz w:val="30"/>
          <w:szCs w:val="30"/>
          <w:lang w:eastAsia="zh-CN"/>
        </w:rPr>
        <w:t>，</w:t>
      </w:r>
      <w:r>
        <w:rPr>
          <w:rFonts w:hint="eastAsia" w:ascii="Times New Roman" w:hAnsi="Times New Roman" w:eastAsia="仿宋_GB2312" w:cs="仿宋_GB2312"/>
          <w:kern w:val="0"/>
          <w:sz w:val="30"/>
          <w:szCs w:val="30"/>
        </w:rPr>
        <w:t>上述职能由财务运行部代管；下辖4个预算单位。纳入天津百利机械装备集团有限公司2023年度部门决算编制范围的单位包括：</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1、天津百利机械装备集团有限公司（本级）</w:t>
      </w:r>
    </w:p>
    <w:p>
      <w:pPr>
        <w:keepNext/>
        <w:keepLines/>
        <w:autoSpaceDE w:val="0"/>
        <w:autoSpaceDN w:val="0"/>
        <w:adjustRightInd w:val="0"/>
        <w:spacing w:line="600" w:lineRule="exact"/>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 xml:space="preserve">    2、天津机电职业技术学院 </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 xml:space="preserve">3、天津市机电工艺技师学院 </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4、天津市机械涂层研究所有限责任公司</w:t>
      </w:r>
    </w:p>
    <w:p>
      <w:pPr>
        <w:keepNext/>
        <w:keepLines/>
        <w:autoSpaceDE w:val="0"/>
        <w:autoSpaceDN w:val="0"/>
        <w:adjustRightInd w:val="0"/>
        <w:spacing w:line="600" w:lineRule="exact"/>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 xml:space="preserve">    5、天津市石化通用机械研究所有限公司 </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1、天津百利机械装备集团有限公司2023年度政府性基金预算财政拨款收入支出决算表为空表。</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2、天津百利机械装备集团有限公司2023年度国有资本经营预算财政拨款收入支出决算表为空表。</w:t>
      </w:r>
    </w:p>
    <w:p>
      <w:pPr>
        <w:keepNext/>
        <w:keepLines/>
        <w:autoSpaceDE w:val="0"/>
        <w:autoSpaceDN w:val="0"/>
        <w:adjustRightInd w:val="0"/>
        <w:spacing w:line="600" w:lineRule="exact"/>
        <w:jc w:val="left"/>
        <w:outlineLvl w:val="1"/>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 xml:space="preserve">    3、天津百利机械装备集团有限公司2023年度财政拨款“三公”经费支出决算表为空表。 </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r>
        <w:rPr>
          <w:rFonts w:hint="eastAsia" w:ascii="Times New Roman" w:hAnsi="Times New Roman" w:eastAsia="仿宋" w:cs="仿宋"/>
          <w:kern w:val="0"/>
          <w:sz w:val="30"/>
          <w:szCs w:val="30"/>
          <w:lang w:val="zh-CN"/>
        </w:rPr>
        <w:t>天津百利机械装备集团有限公司</w:t>
      </w:r>
      <w:r>
        <w:rPr>
          <w:rFonts w:hint="eastAsia" w:ascii="Times New Roman" w:hAnsi="Times New Roman" w:eastAsia="仿宋" w:cs="Times New Roman"/>
          <w:kern w:val="0"/>
          <w:sz w:val="30"/>
          <w:szCs w:val="30"/>
          <w:lang w:val="zh-CN"/>
        </w:rPr>
        <w:t>2023</w:t>
      </w:r>
      <w:r>
        <w:rPr>
          <w:rFonts w:hint="eastAsia" w:ascii="Times New Roman" w:hAnsi="Times New Roman" w:eastAsia="仿宋_GB2312" w:cs="仿宋_GB2312"/>
          <w:kern w:val="0"/>
          <w:sz w:val="30"/>
          <w:szCs w:val="30"/>
          <w:lang w:val="zh-CN"/>
        </w:rPr>
        <w:t>年度收入、支出决算总计</w:t>
      </w:r>
      <w:r>
        <w:rPr>
          <w:rFonts w:hint="eastAsia" w:ascii="Times New Roman" w:hAnsi="Times New Roman" w:eastAsia="华文中宋"/>
          <w:sz w:val="30"/>
          <w:szCs w:val="30"/>
        </w:rPr>
        <w:t>526,964,161.22</w:t>
      </w:r>
      <w:r>
        <w:rPr>
          <w:rFonts w:hint="eastAsia" w:ascii="Times New Roman" w:hAnsi="Times New Roman" w:eastAsia="仿宋_GB2312" w:cs="仿宋_GB2312"/>
          <w:kern w:val="0"/>
          <w:sz w:val="30"/>
          <w:szCs w:val="30"/>
        </w:rPr>
        <w:t>元，与</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年度相比，收、支总计各</w:t>
      </w:r>
      <w:r>
        <w:rPr>
          <w:rFonts w:hint="eastAsia" w:ascii="Times New Roman" w:hAnsi="Times New Roman" w:eastAsia="仿宋_GB2312" w:cs="仿宋_GB2312"/>
          <w:sz w:val="30"/>
          <w:szCs w:val="30"/>
        </w:rPr>
        <w:t>增加64,050,694.35</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，增长13.84</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lang w:eastAsia="zh-CN"/>
        </w:rPr>
        <w:t>学生人数增加，导致相关收支增长</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天津百利机械装备集团有限公司</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480,807,388.15</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年度相比增加45,082,314.26元，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lang w:eastAsia="zh-CN"/>
        </w:rPr>
        <w:t>学生人数增加，导致相关收入增长</w:t>
      </w:r>
      <w:r>
        <w:rPr>
          <w:rFonts w:hint="eastAsia" w:ascii="Times New Roman" w:hAnsi="Times New Roman" w:eastAsia="仿宋_GB2312" w:cs="仿宋_GB2312"/>
          <w:kern w:val="0"/>
          <w:sz w:val="30"/>
          <w:szCs w:val="30"/>
        </w:rPr>
        <w:t>。</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360,567,117.59</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74.99</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71,681,756.25元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14.91%；</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4,571,700.00元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0.95%；</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18,124,241.11元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3.77%；</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25,862,573.20元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5.38%。</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天津百利机械装备集团有限公司</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年度本年支出合计470,923,849.49元，与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年度相比增加13,357,158.14元，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：学生人数增长，导致财政拨款增加。</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398,069,775.93元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占84.53%；</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61,620,703.14元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占13.09%；</w:t>
      </w:r>
      <w:bookmarkStart w:id="0" w:name="_GoBack"/>
      <w:bookmarkEnd w:id="0"/>
    </w:p>
    <w:p>
      <w:pPr>
        <w:autoSpaceDE w:val="0"/>
        <w:autoSpaceDN w:val="0"/>
        <w:adjustRightInd w:val="0"/>
        <w:spacing w:line="580" w:lineRule="exact"/>
        <w:ind w:firstLine="600"/>
        <w:jc w:val="left"/>
        <w:rPr>
          <w:rFonts w:hint="eastAsia" w:ascii="Times New Roman" w:hAnsi="Times New Roman" w:eastAsia="仿宋_GB2312" w:cs="仿宋_GB2312"/>
          <w:sz w:val="30"/>
          <w:szCs w:val="30"/>
          <w:lang w:val="en-US" w:eastAsia="zh-CN"/>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11,233,370.42元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占2.39%</w:t>
      </w:r>
      <w:r>
        <w:rPr>
          <w:rFonts w:hint="eastAsia" w:ascii="Times New Roman" w:hAnsi="Times New Roman" w:eastAsia="仿宋_GB2312" w:cs="仿宋_GB2312"/>
          <w:sz w:val="30"/>
          <w:szCs w:val="30"/>
          <w:lang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天津百利机械装备集团有限公司</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360,567,117.59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年度相比，财政拨款收、支总计各增加25,093,073.81元，增长7.48</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学生人数增长，导致财政拨款增加。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360" w:lineRule="auto"/>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天津百利机械装备集团有限公司</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w:t>
      </w:r>
      <w:r>
        <w:rPr>
          <w:rFonts w:hint="eastAsia" w:ascii="Times New Roman" w:hAnsi="Times New Roman" w:eastAsia="仿宋_GB2312" w:cs="Times New Roman"/>
          <w:sz w:val="30"/>
          <w:szCs w:val="30"/>
        </w:rPr>
        <w:t>360,567,117.59</w:t>
      </w:r>
      <w:r>
        <w:rPr>
          <w:rFonts w:hint="eastAsia" w:ascii="Times New Roman" w:hAnsi="Times New Roman" w:eastAsia="仿宋_GB2312" w:cs="仿宋_GB2312"/>
          <w:sz w:val="30"/>
          <w:szCs w:val="30"/>
        </w:rPr>
        <w:t>元，占本年支出合计的</w:t>
      </w:r>
      <w:r>
        <w:rPr>
          <w:rFonts w:hint="eastAsia" w:ascii="Times New Roman" w:hAnsi="Times New Roman" w:eastAsia="仿宋_GB2312" w:cs="Times New Roman"/>
          <w:sz w:val="30"/>
          <w:szCs w:val="30"/>
        </w:rPr>
        <w:t>76.57</w:t>
      </w:r>
      <w:r>
        <w:rPr>
          <w:rFonts w:hint="eastAsia" w:ascii="Times New Roman" w:hAnsi="Times New Roman" w:eastAsia="宋体" w:cs="Times New Roman"/>
          <w:sz w:val="30"/>
          <w:szCs w:val="30"/>
        </w:rPr>
        <w:t>%</w:t>
      </w:r>
      <w:r>
        <w:rPr>
          <w:rFonts w:hint="eastAsia" w:ascii="Times New Roman" w:hAnsi="Times New Roman" w:eastAsia="仿宋_GB2312" w:cs="仿宋_GB2312"/>
          <w:sz w:val="30"/>
          <w:szCs w:val="30"/>
        </w:rPr>
        <w:t>，与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w:t>
      </w:r>
      <w:r>
        <w:rPr>
          <w:rFonts w:hint="eastAsia" w:eastAsia="仿宋_GB2312"/>
          <w:sz w:val="30"/>
          <w:szCs w:val="30"/>
        </w:rPr>
        <w:t>一般公共预算财政拨款支出增加</w:t>
      </w:r>
      <w:r>
        <w:rPr>
          <w:rFonts w:hint="eastAsia" w:ascii="Times New Roman" w:hAnsi="Times New Roman" w:eastAsia="仿宋_GB2312" w:cs="仿宋_GB2312"/>
          <w:sz w:val="30"/>
          <w:szCs w:val="30"/>
        </w:rPr>
        <w:t>25,093,073.81元，增长7.48</w:t>
      </w:r>
      <w:r>
        <w:rPr>
          <w:rFonts w:hint="eastAsia" w:ascii="Times New Roman" w:hAnsi="Times New Roman" w:eastAsia="宋体"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：学生人数增加，导致教育支出增长。</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360,567,117.59</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教育支出316,734,349.89元，占87.84%；科学技术支出675,975.70元，占0.19%；社会保障和就业支出21,360,892.00元，占5.92%；卫生健康支出21,795,900.00元，占6.05%。</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344,910,300.00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360,567,117.59</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104.54%</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1、教育支出（类）职业教育（款）中等职业教育（项）年初预算为752,000元，支出决算为752</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000元，完成年初预算的100%</w:t>
      </w:r>
      <w:r>
        <w:rPr>
          <w:rFonts w:hint="eastAsia" w:ascii="Times New Roman" w:hAnsi="Times New Roman" w:eastAsia="仿宋_GB2312" w:cs="仿宋_GB2312"/>
          <w:sz w:val="30"/>
          <w:szCs w:val="30"/>
          <w:lang w:eastAsia="zh-CN"/>
        </w:rPr>
        <w:t>，决算数等于年初预算数</w:t>
      </w:r>
      <w:r>
        <w:rPr>
          <w:rFonts w:hint="eastAsia" w:ascii="Times New Roman" w:hAnsi="Times New Roman" w:eastAsia="仿宋_GB2312" w:cs="仿宋_GB2312"/>
          <w:sz w:val="30"/>
          <w:szCs w:val="30"/>
        </w:rPr>
        <w:t xml:space="preserve">。 </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2、教育支出（类）职业教育（款）技校教育（项）年初预算为150</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108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000元，支出决算为153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273</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464元，完成年初预算的102%，决算数大于年初预算数的主要原因是财政增加创优赋能等专项资金。</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 3、教育支出（类）职业教育（款）高等职业教育（项）年初预算为160</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634</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300元，支出决算为162</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708</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885.89元，完成年初预算的 101.29%，决算数大于年初预算数的主要原因是年中追加学生资助补助经费支出。</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 4、科学技术支出（类）其他科技技术支出（款）转制科研机构（项）年初预算为712,000.00元，支出决算为675,975.70元，完成年初预算的94.94%，决算数小于年初预算数的主要原因是人员减少。</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 5、社会保障和就业支出（类）行政事业单位养老支出（款）行政单位离退休（项）年初预算为 2</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760</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000.00元，支出决算为3</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632</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892.00元，完成年初预算的131.63%，决算数大于年初预算数的主要原因是财政拨款增加离退休人员费用。</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 6、社会保障和就业支出（类）行政事业单位养老支出（款）机关事业单位基本养老保险缴费支出（项）年初预算为11</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819</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000元，支出决算为11</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819</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000元，完成年初预算的100%</w:t>
      </w:r>
      <w:r>
        <w:rPr>
          <w:rFonts w:hint="eastAsia" w:ascii="Times New Roman" w:hAnsi="Times New Roman" w:eastAsia="仿宋_GB2312" w:cs="仿宋_GB2312"/>
          <w:sz w:val="30"/>
          <w:szCs w:val="30"/>
          <w:lang w:eastAsia="zh-CN"/>
        </w:rPr>
        <w:t>，决算数等于年初预算数</w:t>
      </w:r>
      <w:r>
        <w:rPr>
          <w:rFonts w:hint="eastAsia" w:ascii="Times New Roman" w:hAnsi="Times New Roman" w:eastAsia="仿宋_GB2312" w:cs="仿宋_GB2312"/>
          <w:sz w:val="30"/>
          <w:szCs w:val="30"/>
        </w:rPr>
        <w:t xml:space="preserve">。 </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ascii="Times New Roman" w:hAnsi="Times New Roman" w:eastAsia="仿宋_GB2312" w:cs="仿宋_GB2312"/>
          <w:sz w:val="30"/>
          <w:szCs w:val="30"/>
        </w:rPr>
        <w:t xml:space="preserve"> </w:t>
      </w:r>
      <w:r>
        <w:rPr>
          <w:rFonts w:hint="eastAsia" w:ascii="Times New Roman" w:hAnsi="Times New Roman" w:eastAsia="仿宋_GB2312" w:cs="仿宋_GB2312"/>
          <w:sz w:val="30"/>
          <w:szCs w:val="30"/>
        </w:rPr>
        <w:t>7、社会保障和就业支出（类）行政事业单位养老支出（款）机关事业单位职业年金缴费支出（项）年初预算为5</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909</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000元，支出决算为5</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909</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000元，完成年初预算的100%</w:t>
      </w:r>
      <w:r>
        <w:rPr>
          <w:rFonts w:hint="eastAsia" w:ascii="Times New Roman" w:hAnsi="Times New Roman" w:eastAsia="仿宋_GB2312" w:cs="仿宋_GB2312"/>
          <w:sz w:val="30"/>
          <w:szCs w:val="30"/>
          <w:lang w:eastAsia="zh-CN"/>
        </w:rPr>
        <w:t>，决算数等于年初预算数</w:t>
      </w:r>
      <w:r>
        <w:rPr>
          <w:rFonts w:hint="eastAsia" w:ascii="Times New Roman" w:hAnsi="Times New Roman" w:eastAsia="仿宋_GB2312" w:cs="仿宋_GB2312"/>
          <w:sz w:val="30"/>
          <w:szCs w:val="30"/>
        </w:rPr>
        <w:t>。</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8、卫生健康支出（类）行政事业单位医疗（款）行政单位医疗（项）年初预算为240</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000.00元，支出决算为1</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049</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300.00元，完成年初预算的437.21%，决算数大于年初预算数的主要原因是财政拨款增加离退休人员医药费。</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 xml:space="preserve"> 9、卫生健康支出（类）行政事业单位医疗（款）事业单位医疗（项）年初预算为7</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835</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000元，支出决算为</w:t>
      </w:r>
      <w:r>
        <w:rPr>
          <w:rFonts w:ascii="Times New Roman" w:hAnsi="Times New Roman" w:eastAsia="仿宋_GB2312" w:cs="仿宋_GB2312"/>
          <w:sz w:val="30"/>
          <w:szCs w:val="30"/>
        </w:rPr>
        <w:t>16</w:t>
      </w:r>
      <w:r>
        <w:rPr>
          <w:rFonts w:hint="eastAsia" w:ascii="Times New Roman" w:hAnsi="Times New Roman" w:eastAsia="仿宋_GB2312" w:cs="仿宋_GB2312"/>
          <w:sz w:val="30"/>
          <w:szCs w:val="30"/>
          <w:lang w:val="en-US" w:eastAsia="zh-CN"/>
        </w:rPr>
        <w:t>,</w:t>
      </w:r>
      <w:r>
        <w:rPr>
          <w:rFonts w:ascii="Times New Roman" w:hAnsi="Times New Roman" w:eastAsia="仿宋_GB2312" w:cs="仿宋_GB2312"/>
          <w:sz w:val="30"/>
          <w:szCs w:val="30"/>
        </w:rPr>
        <w:t>605</w:t>
      </w:r>
      <w:r>
        <w:rPr>
          <w:rFonts w:hint="eastAsia" w:ascii="Times New Roman" w:hAnsi="Times New Roman" w:eastAsia="仿宋_GB2312" w:cs="仿宋_GB2312"/>
          <w:sz w:val="30"/>
          <w:szCs w:val="30"/>
          <w:lang w:val="en-US" w:eastAsia="zh-CN"/>
        </w:rPr>
        <w:t>,</w:t>
      </w:r>
      <w:r>
        <w:rPr>
          <w:rFonts w:ascii="Times New Roman" w:hAnsi="Times New Roman" w:eastAsia="仿宋_GB2312" w:cs="仿宋_GB2312"/>
          <w:sz w:val="30"/>
          <w:szCs w:val="30"/>
        </w:rPr>
        <w:t>600</w:t>
      </w:r>
      <w:r>
        <w:rPr>
          <w:rFonts w:hint="eastAsia" w:ascii="Times New Roman" w:hAnsi="Times New Roman" w:eastAsia="仿宋_GB2312" w:cs="仿宋_GB2312"/>
          <w:sz w:val="30"/>
          <w:szCs w:val="30"/>
        </w:rPr>
        <w:t>元，完成年初预算的</w:t>
      </w:r>
      <w:r>
        <w:rPr>
          <w:rFonts w:ascii="Times New Roman" w:hAnsi="Times New Roman" w:eastAsia="仿宋_GB2312" w:cs="仿宋_GB2312"/>
          <w:sz w:val="30"/>
          <w:szCs w:val="30"/>
        </w:rPr>
        <w:t>211.94%</w:t>
      </w:r>
      <w:r>
        <w:rPr>
          <w:rFonts w:hint="eastAsia" w:ascii="Times New Roman" w:hAnsi="Times New Roman" w:eastAsia="仿宋_GB2312" w:cs="仿宋_GB2312"/>
          <w:sz w:val="30"/>
          <w:szCs w:val="30"/>
        </w:rPr>
        <w:t>，决算数大于年初预算数的主要原因是财政拨款增加离退休人员医药费。</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 xml:space="preserve"> 10、卫生健康支出（类）行政事业单位医疗（款）其他行政事业单位医疗支出（项）年初预算为4</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141</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000元，支出决算为</w:t>
      </w:r>
      <w:r>
        <w:rPr>
          <w:rFonts w:ascii="Times New Roman" w:hAnsi="Times New Roman" w:eastAsia="仿宋_GB2312" w:cs="仿宋_GB2312"/>
          <w:sz w:val="30"/>
          <w:szCs w:val="30"/>
        </w:rPr>
        <w:t>4</w:t>
      </w:r>
      <w:r>
        <w:rPr>
          <w:rFonts w:hint="eastAsia" w:ascii="Times New Roman" w:hAnsi="Times New Roman" w:eastAsia="仿宋_GB2312" w:cs="仿宋_GB2312"/>
          <w:sz w:val="30"/>
          <w:szCs w:val="30"/>
          <w:lang w:val="en-US" w:eastAsia="zh-CN"/>
        </w:rPr>
        <w:t>,</w:t>
      </w:r>
      <w:r>
        <w:rPr>
          <w:rFonts w:ascii="Times New Roman" w:hAnsi="Times New Roman" w:eastAsia="仿宋_GB2312" w:cs="仿宋_GB2312"/>
          <w:sz w:val="30"/>
          <w:szCs w:val="30"/>
        </w:rPr>
        <w:t>141</w:t>
      </w:r>
      <w:r>
        <w:rPr>
          <w:rFonts w:hint="eastAsia" w:ascii="Times New Roman" w:hAnsi="Times New Roman" w:eastAsia="仿宋_GB2312" w:cs="仿宋_GB2312"/>
          <w:sz w:val="30"/>
          <w:szCs w:val="30"/>
          <w:lang w:val="en-US" w:eastAsia="zh-CN"/>
        </w:rPr>
        <w:t>,</w:t>
      </w:r>
      <w:r>
        <w:rPr>
          <w:rFonts w:ascii="Times New Roman" w:hAnsi="Times New Roman" w:eastAsia="仿宋_GB2312" w:cs="仿宋_GB2312"/>
          <w:sz w:val="30"/>
          <w:szCs w:val="30"/>
        </w:rPr>
        <w:t>000</w:t>
      </w:r>
      <w:r>
        <w:rPr>
          <w:rFonts w:hint="eastAsia" w:ascii="Times New Roman" w:hAnsi="Times New Roman" w:eastAsia="仿宋_GB2312" w:cs="仿宋_GB2312"/>
          <w:sz w:val="30"/>
          <w:szCs w:val="30"/>
        </w:rPr>
        <w:t>元，完成年初预算的</w:t>
      </w:r>
      <w:r>
        <w:rPr>
          <w:rFonts w:ascii="Times New Roman" w:hAnsi="Times New Roman" w:eastAsia="仿宋_GB2312" w:cs="仿宋_GB2312"/>
          <w:sz w:val="30"/>
          <w:szCs w:val="30"/>
        </w:rPr>
        <w:t>100.00</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eastAsia="zh-CN"/>
        </w:rPr>
        <w:t>，决算数等于年初预算数</w:t>
      </w:r>
      <w:r>
        <w:rPr>
          <w:rFonts w:hint="eastAsia" w:ascii="Times New Roman" w:hAnsi="Times New Roman" w:eastAsia="仿宋_GB2312" w:cs="仿宋_GB2312"/>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天津百利机械装备集团有限公司</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314,826,461.59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年度相比增加21,160,945.56元，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学生增加，导致日常经费开支增长。</w:t>
      </w:r>
      <w:r>
        <w:rPr>
          <w:rFonts w:hint="eastAsia" w:ascii="Times New Roman" w:hAnsi="Times New Roman" w:eastAsia="仿宋_GB2312" w:cs="仿宋_GB2312"/>
          <w:kern w:val="0"/>
          <w:sz w:val="30"/>
          <w:szCs w:val="30"/>
        </w:rPr>
        <w:t>其中：</w:t>
      </w:r>
    </w:p>
    <w:p>
      <w:pPr>
        <w:spacing w:line="580" w:lineRule="exact"/>
        <w:ind w:firstLine="600"/>
        <w:rPr>
          <w:rFonts w:ascii="Times New Roman" w:hAnsi="Times New Roman" w:eastAsia="仿宋_GB2312" w:cs="Times New Roman"/>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257,591,461.59</w:t>
      </w:r>
      <w:r>
        <w:rPr>
          <w:rFonts w:hint="eastAsia" w:ascii="Times New Roman" w:hAnsi="Times New Roman" w:eastAsia="仿宋_GB2312" w:cs="仿宋_GB2312"/>
          <w:kern w:val="0"/>
          <w:sz w:val="30"/>
          <w:szCs w:val="30"/>
        </w:rPr>
        <w:t>元，主</w:t>
      </w:r>
      <w:r>
        <w:rPr>
          <w:rFonts w:hint="eastAsia" w:ascii="Times New Roman" w:hAnsi="Times New Roman" w:eastAsia="仿宋_GB2312" w:cs="Times New Roman"/>
          <w:sz w:val="30"/>
          <w:szCs w:val="30"/>
        </w:rPr>
        <w:t>要包括基本工资、津贴补贴、绩效工资、机关事业单位基本养老保险缴费、职业年金缴费、职工基本医疗保险缴费、其他社会保障缴费、住房公积金、医疗费、其他工资福利支出、离休费、退休费、抚恤金、生活补助、医疗费补助、助学金、其他对个人和家庭的补助。</w:t>
      </w:r>
    </w:p>
    <w:p>
      <w:pPr>
        <w:autoSpaceDE w:val="0"/>
        <w:autoSpaceDN w:val="0"/>
        <w:adjustRightInd w:val="0"/>
        <w:spacing w:line="600" w:lineRule="exact"/>
        <w:ind w:firstLine="720"/>
        <w:jc w:val="left"/>
        <w:rPr>
          <w:rFonts w:ascii="仿宋_GB2312" w:hAnsi="Times New Roman" w:eastAsia="仿宋_GB2312" w:cs="仿宋_GB2312"/>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57,235,000.00</w:t>
      </w:r>
      <w:r>
        <w:rPr>
          <w:rFonts w:hint="eastAsia" w:ascii="Times New Roman" w:hAnsi="Times New Roman" w:eastAsia="仿宋_GB2312" w:cs="仿宋_GB2312"/>
          <w:kern w:val="0"/>
          <w:sz w:val="30"/>
          <w:szCs w:val="30"/>
        </w:rPr>
        <w:t>元，主要包括</w:t>
      </w:r>
      <w:r>
        <w:rPr>
          <w:rFonts w:hint="eastAsia" w:ascii="仿宋_GB2312" w:hAnsi="Times New Roman" w:eastAsia="仿宋_GB2312" w:cs="仿宋_GB2312"/>
          <w:sz w:val="30"/>
          <w:szCs w:val="30"/>
        </w:rPr>
        <w:t>办公费、咨询费、水费、电费、取暖费、物业管理费、维修</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护</w:t>
      </w:r>
      <w:r>
        <w:rPr>
          <w:rFonts w:ascii="仿宋_GB2312" w:hAnsi="Times New Roman" w:eastAsia="仿宋_GB2312" w:cs="仿宋_GB2312"/>
          <w:sz w:val="30"/>
          <w:szCs w:val="30"/>
        </w:rPr>
        <w:t>)</w:t>
      </w:r>
      <w:r>
        <w:rPr>
          <w:rFonts w:hint="eastAsia" w:ascii="仿宋_GB2312" w:hAnsi="Times New Roman" w:eastAsia="仿宋_GB2312" w:cs="仿宋_GB2312"/>
          <w:sz w:val="30"/>
          <w:szCs w:val="30"/>
        </w:rPr>
        <w:t>费、租赁费、培训费、专用材料费、劳务费、委托业务费、工会经费、福利费、其他交通费用、税金及附加费用、其他商品和服务支出、办公设备购置、专用设备购置。</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天津百利机械装备集团有限公司2023年度无政府性基金预算财政拨款收入、支出和结转结余。</w:t>
      </w:r>
      <w:r>
        <w:rPr>
          <w:rFonts w:hint="eastAsia" w:ascii="Times New Roman" w:hAnsi="Times New Roman" w:eastAsia="仿宋_GB2312" w:cs="仿宋_GB2312"/>
          <w:sz w:val="30"/>
          <w:szCs w:val="30"/>
        </w:rPr>
        <w:tab/>
      </w:r>
    </w:p>
    <w:p>
      <w:pPr>
        <w:autoSpaceDE w:val="0"/>
        <w:autoSpaceDN w:val="0"/>
        <w:adjustRightInd w:val="0"/>
        <w:spacing w:line="600" w:lineRule="exact"/>
        <w:ind w:firstLine="600"/>
        <w:jc w:val="left"/>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keepNext/>
        <w:keepLines/>
        <w:autoSpaceDE w:val="0"/>
        <w:autoSpaceDN w:val="0"/>
        <w:adjustRightInd w:val="0"/>
        <w:spacing w:line="600" w:lineRule="exact"/>
        <w:ind w:firstLine="602"/>
        <w:jc w:val="left"/>
        <w:outlineLvl w:val="1"/>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天津百利机械装备集团有限公司2023年度无国有资本经营预算财政拨款收入、支出和结转结余。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。决算数等于预算数，且与</w:t>
      </w:r>
      <w:r>
        <w:rPr>
          <w:rFonts w:ascii="Times New Roman" w:hAnsi="Times New Roman" w:eastAsia="仿宋_GB2312" w:cs="仿宋_GB2312"/>
          <w:kern w:val="0"/>
          <w:sz w:val="30"/>
          <w:szCs w:val="30"/>
        </w:rPr>
        <w:t>上年</w:t>
      </w:r>
      <w:r>
        <w:rPr>
          <w:rFonts w:hint="eastAsia" w:ascii="Times New Roman" w:hAnsi="Times New Roman" w:eastAsia="仿宋_GB2312" w:cs="仿宋_GB2312"/>
          <w:kern w:val="0"/>
          <w:sz w:val="30"/>
          <w:szCs w:val="30"/>
        </w:rPr>
        <w:t>数持平主要原因是：</w:t>
      </w:r>
      <w:r>
        <w:rPr>
          <w:rFonts w:hint="eastAsia" w:ascii="Times New Roman" w:hAnsi="Times New Roman" w:eastAsia="仿宋_GB2312" w:cs="仿宋_GB2312"/>
          <w:sz w:val="30"/>
          <w:szCs w:val="30"/>
        </w:rPr>
        <w:t>本年度未用财政拨款经费列支“三公”经费</w:t>
      </w:r>
      <w:r>
        <w:rPr>
          <w:rFonts w:hint="eastAsia" w:ascii="Times New Roman" w:hAnsi="Times New Roman" w:eastAsia="仿宋_GB2312" w:cs="仿宋_GB2312"/>
          <w:kern w:val="0"/>
          <w:sz w:val="30"/>
          <w:szCs w:val="30"/>
        </w:rPr>
        <w:t>。</w:t>
      </w:r>
      <w:r>
        <w:rPr>
          <w:rFonts w:ascii="Times New Roman" w:hAnsi="Times New Roman" w:eastAsia="仿宋_GB2312" w:cs="Times New Roman"/>
          <w:kern w:val="0"/>
          <w:sz w:val="30"/>
          <w:szCs w:val="30"/>
        </w:rPr>
        <w:t xml:space="preserve"> </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w:t>
      </w:r>
      <w:r>
        <w:rPr>
          <w:rFonts w:ascii="Times New Roman" w:hAnsi="Times New Roman" w:eastAsia="仿宋_GB2312" w:cs="仿宋_GB2312"/>
          <w:kern w:val="0"/>
          <w:sz w:val="30"/>
          <w:szCs w:val="30"/>
        </w:rPr>
        <w:t>相比持平，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。决算数等于预算数，</w:t>
      </w:r>
      <w:r>
        <w:rPr>
          <w:rFonts w:ascii="Times New Roman" w:hAnsi="Times New Roman" w:eastAsia="仿宋_GB2312" w:cs="仿宋_GB2312"/>
          <w:kern w:val="0"/>
          <w:sz w:val="30"/>
          <w:szCs w:val="30"/>
        </w:rPr>
        <w:t>且</w:t>
      </w:r>
      <w:r>
        <w:rPr>
          <w:rFonts w:hint="eastAsia" w:ascii="Times New Roman" w:hAnsi="Times New Roman" w:eastAsia="仿宋_GB2312" w:cs="仿宋_GB2312"/>
          <w:kern w:val="0"/>
          <w:sz w:val="30"/>
          <w:szCs w:val="30"/>
        </w:rPr>
        <w:t>与</w:t>
      </w:r>
      <w:r>
        <w:rPr>
          <w:rFonts w:ascii="Times New Roman" w:hAnsi="Times New Roman" w:eastAsia="仿宋_GB2312" w:cs="仿宋_GB2312"/>
          <w:kern w:val="0"/>
          <w:sz w:val="30"/>
          <w:szCs w:val="30"/>
        </w:rPr>
        <w:t>上年数持平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w:t>
      </w:r>
      <w:r>
        <w:rPr>
          <w:rFonts w:ascii="Times New Roman" w:hAnsi="Times New Roman" w:eastAsia="仿宋_GB2312" w:cs="仿宋_GB2312"/>
          <w:kern w:val="0"/>
          <w:sz w:val="30"/>
          <w:szCs w:val="30"/>
        </w:rPr>
        <w:t>相比持平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。决算数等于预算数，</w:t>
      </w:r>
      <w:r>
        <w:rPr>
          <w:rFonts w:ascii="Times New Roman" w:hAnsi="Times New Roman" w:eastAsia="仿宋_GB2312" w:cs="仿宋_GB2312"/>
          <w:kern w:val="0"/>
          <w:sz w:val="30"/>
          <w:szCs w:val="30"/>
        </w:rPr>
        <w:t>且</w:t>
      </w:r>
      <w:r>
        <w:rPr>
          <w:rFonts w:hint="eastAsia" w:ascii="Times New Roman" w:hAnsi="Times New Roman" w:eastAsia="仿宋_GB2312" w:cs="仿宋_GB2312"/>
          <w:kern w:val="0"/>
          <w:sz w:val="30"/>
          <w:szCs w:val="30"/>
        </w:rPr>
        <w:t>与</w:t>
      </w:r>
      <w:r>
        <w:rPr>
          <w:rFonts w:ascii="Times New Roman" w:hAnsi="Times New Roman" w:eastAsia="仿宋_GB2312" w:cs="仿宋_GB2312"/>
          <w:kern w:val="0"/>
          <w:sz w:val="30"/>
          <w:szCs w:val="30"/>
        </w:rPr>
        <w:t>上年数持平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本年度未用财政拨款经费列支公务用车购置费及公务用车运行维护费。</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w:t>
      </w:r>
      <w:r>
        <w:rPr>
          <w:rFonts w:ascii="Times New Roman" w:hAnsi="Times New Roman" w:eastAsia="仿宋_GB2312" w:cs="仿宋_GB2312"/>
          <w:kern w:val="0"/>
          <w:sz w:val="30"/>
          <w:szCs w:val="30"/>
        </w:rPr>
        <w:t>相比持平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。决算数等于预算数，</w:t>
      </w:r>
      <w:r>
        <w:rPr>
          <w:rFonts w:ascii="Times New Roman" w:hAnsi="Times New Roman" w:eastAsia="仿宋_GB2312" w:cs="仿宋_GB2312"/>
          <w:kern w:val="0"/>
          <w:sz w:val="30"/>
          <w:szCs w:val="30"/>
        </w:rPr>
        <w:t>且</w:t>
      </w:r>
      <w:r>
        <w:rPr>
          <w:rFonts w:hint="eastAsia" w:ascii="Times New Roman" w:hAnsi="Times New Roman" w:eastAsia="仿宋_GB2312" w:cs="仿宋_GB2312"/>
          <w:kern w:val="0"/>
          <w:sz w:val="30"/>
          <w:szCs w:val="30"/>
        </w:rPr>
        <w:t>与</w:t>
      </w:r>
      <w:r>
        <w:rPr>
          <w:rFonts w:ascii="Times New Roman" w:hAnsi="Times New Roman" w:eastAsia="仿宋_GB2312" w:cs="仿宋_GB2312"/>
          <w:kern w:val="0"/>
          <w:sz w:val="30"/>
          <w:szCs w:val="30"/>
        </w:rPr>
        <w:t>上年数持平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w:t>
      </w:r>
      <w:r>
        <w:rPr>
          <w:rFonts w:ascii="Times New Roman" w:hAnsi="Times New Roman" w:eastAsia="仿宋_GB2312" w:cs="仿宋_GB2312"/>
          <w:kern w:val="0"/>
          <w:sz w:val="30"/>
          <w:szCs w:val="30"/>
        </w:rPr>
        <w:t>相比持平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。决算数等于预算数，</w:t>
      </w:r>
      <w:r>
        <w:rPr>
          <w:rFonts w:ascii="Times New Roman" w:hAnsi="Times New Roman" w:eastAsia="仿宋_GB2312" w:cs="仿宋_GB2312"/>
          <w:kern w:val="0"/>
          <w:sz w:val="30"/>
          <w:szCs w:val="30"/>
        </w:rPr>
        <w:t>且</w:t>
      </w:r>
      <w:r>
        <w:rPr>
          <w:rFonts w:hint="eastAsia" w:ascii="Times New Roman" w:hAnsi="Times New Roman" w:eastAsia="仿宋_GB2312" w:cs="仿宋_GB2312"/>
          <w:kern w:val="0"/>
          <w:sz w:val="30"/>
          <w:szCs w:val="30"/>
        </w:rPr>
        <w:t>与</w:t>
      </w:r>
      <w:r>
        <w:rPr>
          <w:rFonts w:ascii="Times New Roman" w:hAnsi="Times New Roman" w:eastAsia="仿宋_GB2312" w:cs="仿宋_GB2312"/>
          <w:kern w:val="0"/>
          <w:sz w:val="30"/>
          <w:szCs w:val="30"/>
        </w:rPr>
        <w:t>上年数持平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。决算数等于预算数，</w:t>
      </w:r>
      <w:r>
        <w:rPr>
          <w:rFonts w:ascii="Times New Roman" w:hAnsi="Times New Roman" w:eastAsia="仿宋_GB2312" w:cs="仿宋_GB2312"/>
          <w:kern w:val="0"/>
          <w:sz w:val="30"/>
          <w:szCs w:val="30"/>
        </w:rPr>
        <w:t>且</w:t>
      </w:r>
      <w:r>
        <w:rPr>
          <w:rFonts w:hint="eastAsia" w:ascii="Times New Roman" w:hAnsi="Times New Roman" w:eastAsia="仿宋_GB2312" w:cs="仿宋_GB2312"/>
          <w:kern w:val="0"/>
          <w:sz w:val="30"/>
          <w:szCs w:val="30"/>
        </w:rPr>
        <w:t>与</w:t>
      </w:r>
      <w:r>
        <w:rPr>
          <w:rFonts w:ascii="Times New Roman" w:hAnsi="Times New Roman" w:eastAsia="仿宋_GB2312" w:cs="仿宋_GB2312"/>
          <w:kern w:val="0"/>
          <w:sz w:val="30"/>
          <w:szCs w:val="30"/>
        </w:rPr>
        <w:t>上年数持平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keepNext/>
        <w:keepLines/>
        <w:autoSpaceDE w:val="0"/>
        <w:autoSpaceDN w:val="0"/>
        <w:adjustRightInd w:val="0"/>
        <w:spacing w:line="600" w:lineRule="exact"/>
        <w:ind w:firstLine="602"/>
        <w:jc w:val="left"/>
        <w:outlineLvl w:val="1"/>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天津百利机械装备集团有限公司2023年度无机关运行经费。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color w:val="000000"/>
          <w:kern w:val="0"/>
          <w:sz w:val="30"/>
          <w:szCs w:val="30"/>
        </w:rPr>
        <w:t>天津百利机械装备集团有限公司</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40,563,005.60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15,475,154.00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1,499,500.00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23,588,351.60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37,812,814.60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93.22%</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30,983,414.60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76.38%</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95.35</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91.39</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autoSpaceDE w:val="0"/>
        <w:autoSpaceDN w:val="0"/>
        <w:adjustRightInd w:val="0"/>
        <w:spacing w:line="600" w:lineRule="exact"/>
        <w:ind w:firstLine="600"/>
        <w:jc w:val="left"/>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日，天津百利机械装备集团有限公司共有车辆</w:t>
      </w:r>
      <w:r>
        <w:rPr>
          <w:rFonts w:hint="eastAsia" w:ascii="Times New Roman" w:hAnsi="Times New Roman" w:eastAsia="仿宋_GB2312" w:cs="Times New Roman"/>
          <w:kern w:val="0"/>
          <w:sz w:val="30"/>
          <w:szCs w:val="30"/>
        </w:rPr>
        <w:t>20</w:t>
      </w:r>
      <w:r>
        <w:rPr>
          <w:rFonts w:hint="eastAsia" w:ascii="Times New Roman" w:hAnsi="Times New Roman" w:eastAsia="仿宋_GB2312" w:cs="仿宋_GB2312"/>
          <w:color w:val="000000"/>
          <w:kern w:val="0"/>
          <w:sz w:val="30"/>
          <w:szCs w:val="30"/>
        </w:rPr>
        <w:t>辆，其中：</w:t>
      </w:r>
      <w:r>
        <w:rPr>
          <w:rFonts w:ascii="Times New Roman" w:hAnsi="Times New Roman" w:eastAsia="仿宋_GB2312" w:cs="Times New Roman"/>
          <w:kern w:val="0"/>
          <w:sz w:val="30"/>
          <w:szCs w:val="30"/>
        </w:rPr>
        <w:t>其他用车</w:t>
      </w:r>
      <w:r>
        <w:rPr>
          <w:rFonts w:hint="eastAsia" w:ascii="Times New Roman" w:hAnsi="Times New Roman" w:eastAsia="仿宋_GB2312" w:cs="Times New Roman"/>
          <w:kern w:val="0"/>
          <w:sz w:val="30"/>
          <w:szCs w:val="30"/>
        </w:rPr>
        <w:t>20</w:t>
      </w:r>
      <w:r>
        <w:rPr>
          <w:rFonts w:ascii="Times New Roman" w:hAnsi="Times New Roman" w:eastAsia="仿宋_GB2312" w:cs="Times New Roman"/>
          <w:kern w:val="0"/>
          <w:sz w:val="30"/>
          <w:szCs w:val="30"/>
        </w:rPr>
        <w:t>辆</w:t>
      </w:r>
      <w:r>
        <w:rPr>
          <w:rFonts w:hint="eastAsia" w:ascii="Times New Roman" w:hAnsi="Times New Roman" w:eastAsia="仿宋_GB2312" w:cs="Times New Roman"/>
          <w:kern w:val="0"/>
          <w:sz w:val="30"/>
          <w:szCs w:val="30"/>
        </w:rPr>
        <w:t>，其他用车主要包括</w:t>
      </w:r>
      <w:r>
        <w:rPr>
          <w:rFonts w:hint="eastAsia" w:ascii="Times New Roman" w:hAnsi="Times New Roman" w:eastAsia="仿宋_GB2312" w:cs="仿宋_GB2312"/>
          <w:sz w:val="30"/>
          <w:szCs w:val="30"/>
        </w:rPr>
        <w:t>后勤服务用车、业务用车及待处置车辆。</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26</w:t>
      </w:r>
      <w:r>
        <w:rPr>
          <w:rFonts w:hint="eastAsia" w:ascii="Times New Roman" w:hAnsi="Times New Roman" w:eastAsia="仿宋_GB2312" w:cs="仿宋_GB2312"/>
          <w:kern w:val="0"/>
          <w:sz w:val="30"/>
          <w:szCs w:val="30"/>
        </w:rPr>
        <w:t>台。</w:t>
      </w:r>
    </w:p>
    <w:p>
      <w:pPr>
        <w:autoSpaceDE w:val="0"/>
        <w:autoSpaceDN w:val="0"/>
        <w:adjustRightInd w:val="0"/>
        <w:spacing w:line="600" w:lineRule="exact"/>
        <w:ind w:firstLine="600"/>
        <w:jc w:val="left"/>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根据预算绩效管理要求，</w:t>
      </w:r>
      <w:r>
        <w:rPr>
          <w:rFonts w:hint="eastAsia" w:ascii="Times New Roman" w:hAnsi="Times New Roman" w:eastAsia="仿宋_GB2312" w:cs="仿宋_GB2312"/>
          <w:color w:val="000000"/>
          <w:kern w:val="0"/>
          <w:sz w:val="30"/>
          <w:szCs w:val="30"/>
        </w:rPr>
        <w:t>天津百利机械装备集团有限公司</w:t>
      </w:r>
      <w:r>
        <w:rPr>
          <w:rFonts w:hint="eastAsia" w:ascii="Times New Roman" w:hAnsi="Times New Roman" w:eastAsia="仿宋_GB2312" w:cs="仿宋_GB2312"/>
          <w:kern w:val="0"/>
          <w:sz w:val="30"/>
          <w:szCs w:val="30"/>
        </w:rPr>
        <w:t>2023年度已对</w:t>
      </w:r>
      <w:r>
        <w:rPr>
          <w:rFonts w:hint="eastAsia" w:ascii="Times New Roman" w:hAnsi="Times New Roman" w:eastAsia="仿宋_GB2312" w:cs="仿宋_GB2312"/>
          <w:sz w:val="30"/>
          <w:szCs w:val="30"/>
        </w:rPr>
        <w:t>22</w:t>
      </w:r>
      <w:r>
        <w:rPr>
          <w:rFonts w:hint="eastAsia" w:ascii="Times New Roman" w:hAnsi="Times New Roman" w:eastAsia="仿宋_GB2312" w:cs="仿宋_GB2312"/>
          <w:kern w:val="0"/>
          <w:sz w:val="30"/>
          <w:szCs w:val="30"/>
        </w:rPr>
        <w:t>个市级项目开展绩效自评，涉及金额</w:t>
      </w:r>
      <w:r>
        <w:rPr>
          <w:rFonts w:hint="eastAsia" w:ascii="Times New Roman" w:hAnsi="Times New Roman" w:eastAsia="仿宋_GB2312" w:cs="仿宋_GB2312"/>
          <w:sz w:val="30"/>
          <w:szCs w:val="30"/>
        </w:rPr>
        <w:t>45,740,656.00</w:t>
      </w:r>
      <w:r>
        <w:rPr>
          <w:rFonts w:hint="eastAsia" w:ascii="Times New Roman" w:hAnsi="Times New Roman" w:eastAsia="仿宋_GB2312" w:cs="仿宋_GB2312"/>
          <w:kern w:val="0"/>
          <w:sz w:val="30"/>
          <w:szCs w:val="30"/>
        </w:rPr>
        <w:t>元，自评结果已随部门决算一并公开；</w:t>
      </w:r>
      <w:r>
        <w:rPr>
          <w:rFonts w:hint="eastAsia" w:ascii="Times New Roman" w:hAnsi="Times New Roman" w:eastAsia="仿宋_GB2312" w:cs="仿宋_GB2312"/>
          <w:sz w:val="30"/>
          <w:szCs w:val="30"/>
          <w:highlight w:val="white"/>
        </w:rPr>
        <w:t>本部门</w:t>
      </w:r>
      <w:r>
        <w:rPr>
          <w:rFonts w:ascii="Times New Roman" w:hAnsi="Times New Roman" w:eastAsia="仿宋_GB2312" w:cs="仿宋_GB2312"/>
          <w:sz w:val="30"/>
          <w:szCs w:val="30"/>
          <w:highlight w:val="white"/>
        </w:rPr>
        <w:t>2023</w:t>
      </w:r>
      <w:r>
        <w:rPr>
          <w:rFonts w:hint="eastAsia" w:ascii="Times New Roman" w:hAnsi="Times New Roman" w:eastAsia="仿宋_GB2312" w:cs="仿宋_GB2312"/>
          <w:sz w:val="30"/>
          <w:szCs w:val="30"/>
          <w:highlight w:val="white"/>
        </w:rPr>
        <w:t>年度未开展部门评价。</w:t>
      </w:r>
    </w:p>
    <w:p>
      <w:pPr>
        <w:autoSpaceDE w:val="0"/>
        <w:autoSpaceDN w:val="0"/>
        <w:adjustRightInd w:val="0"/>
        <w:spacing w:line="600" w:lineRule="exact"/>
        <w:ind w:firstLine="600"/>
        <w:jc w:val="left"/>
        <w:rPr>
          <w:rFonts w:hint="eastAsia"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天津百利机械装备集团有限公司不属于乡、镇、街级单位，不涉及公开2023年度教育、医疗卫生、社会保障和就业、住房保障、涉农补贴等民生支出情况。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宋体" w:cs="宋体"/>
          <w:kern w:val="0"/>
          <w:sz w:val="24"/>
          <w:szCs w:val="24"/>
        </w:rPr>
        <w:t>1.</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方正舒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72E56"/>
    <w:rsid w:val="001A0E4F"/>
    <w:rsid w:val="001B5C3C"/>
    <w:rsid w:val="001C0399"/>
    <w:rsid w:val="001D587E"/>
    <w:rsid w:val="002124F6"/>
    <w:rsid w:val="002370B6"/>
    <w:rsid w:val="00264B59"/>
    <w:rsid w:val="002A4997"/>
    <w:rsid w:val="002E6086"/>
    <w:rsid w:val="00302490"/>
    <w:rsid w:val="003227B2"/>
    <w:rsid w:val="003536BE"/>
    <w:rsid w:val="003672A1"/>
    <w:rsid w:val="003B25FB"/>
    <w:rsid w:val="00402B3C"/>
    <w:rsid w:val="00412C01"/>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1DDA"/>
    <w:rsid w:val="00776FF3"/>
    <w:rsid w:val="0078156E"/>
    <w:rsid w:val="00786E74"/>
    <w:rsid w:val="007D1285"/>
    <w:rsid w:val="007D6796"/>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8CF2469"/>
    <w:rsid w:val="1949378C"/>
    <w:rsid w:val="199A3054"/>
    <w:rsid w:val="1A1104E0"/>
    <w:rsid w:val="1A404E9F"/>
    <w:rsid w:val="1AA54268"/>
    <w:rsid w:val="1B173F14"/>
    <w:rsid w:val="1B4641B9"/>
    <w:rsid w:val="1B520DB0"/>
    <w:rsid w:val="1B5D5A1E"/>
    <w:rsid w:val="1B7A68EC"/>
    <w:rsid w:val="1CCA277E"/>
    <w:rsid w:val="1DFB572F"/>
    <w:rsid w:val="1EC5396A"/>
    <w:rsid w:val="1EFB0588"/>
    <w:rsid w:val="1FE02CD6"/>
    <w:rsid w:val="20DB5BFD"/>
    <w:rsid w:val="21365D81"/>
    <w:rsid w:val="21556D90"/>
    <w:rsid w:val="21B06F4E"/>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E5711"/>
    <w:rsid w:val="656942F9"/>
    <w:rsid w:val="665D659A"/>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autoRedefine/>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A955A-3090-469E-8BE8-1DFD51ABF403}">
  <ds:schemaRefs/>
</ds:datastoreItem>
</file>

<file path=docProps/app.xml><?xml version="1.0" encoding="utf-8"?>
<Properties xmlns="http://schemas.openxmlformats.org/officeDocument/2006/extended-properties" xmlns:vt="http://schemas.openxmlformats.org/officeDocument/2006/docPropsVTypes">
  <Template>Normal</Template>
  <Pages>15</Pages>
  <Words>872</Words>
  <Characters>4973</Characters>
  <Lines>41</Lines>
  <Paragraphs>11</Paragraphs>
  <TotalTime>3</TotalTime>
  <ScaleCrop>false</ScaleCrop>
  <LinksUpToDate>false</LinksUpToDate>
  <CharactersWithSpaces>5834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2024-07-29T02:06:00Z</dcterms:created>
  <dc:creator>office</dc:creator>
  <cp:lastModifiedBy>Dell</cp:lastModifiedBy>
  <dcterms:modified xsi:type="dcterms:W3CDTF">2024-08-28T03:45:39Z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3DCFA60CFB114D7C986F40C31E25989D_13</vt:lpwstr>
  </property>
</Properties>
</file>