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天津市大数据管理中心</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参与拟定大数据发展应用规划和信息化建设标准、信息数据标准规范，承担信息化项目建设、组织实施和运行保障工作;承担市“政务云”平台、全市信息资源统一共享交换平台等平台的建设、运行、管理和日常维护工作；承担统一信息资源库建设；承担促进大数据全业态发展工作；宏观经济监测预警，提供决策支持和信息咨询服务；承担市级电子政务网络运维管理工作；承担信息数据安全保障等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天津市大数据管理中心内设21个职能处室。纳入天津市大数据管理中心2023年度部门决算编制范围的单位包括：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天津市大数据管理中心本级1个事业单位。</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1.天津市大数据管理中心2023年度政府性基金预算财政拨款收入支出决算表为空表。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2.天津市大数据管理中心2023年度国有资本经营预算财政拨款收入支出决算表为空表。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天津市大数据管理中心2023年度收入、支出决算总计</w:t>
      </w:r>
      <w:r>
        <w:rPr>
          <w:rFonts w:hint="eastAsia" w:ascii="Times New Roman" w:hAnsi="Times New Roman" w:eastAsia="仿宋_GB2312" w:cs="仿宋_GB2312"/>
          <w:sz w:val="30"/>
          <w:szCs w:val="30"/>
          <w:highlight w:val="none"/>
          <w:lang w:eastAsia="zh-CN"/>
        </w:rPr>
        <w:t>287,017,552.76元，与2022年度相比，收、支总计各减少2,553,700.58元，下降0.88%，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：人员减少，基本支出有所减少。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天津市大数据管理中心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285,936,401.96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增加15,265,785.03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信息化项目有所增加、事业收入和其他收入增加。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280,993,144.83</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98.27</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3,944,707.00元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1.38%；</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998,550.13元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0.35%</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天津市大数据管理中心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286,425,159.92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3,062,603.82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人员减少，基本支出有所减少。</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115,405,262.98元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40.29</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171,019,896.94元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占59.71%。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天津市大数据管理中心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280,993,144.83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11,418,768.31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4.24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信息化项目有所增加。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天津市大数据管理中心2023年度部门决算一般公共预算财政拨款支出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计280,993,144.83元，占本年支出合计的98.1%，与2022年度相比，一般公共预算财政拨款支出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11,418,768.31元，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4.24%，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：信息化项目有所增加。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280,993,144.83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一般公共服务支出26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408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8941.78元，占93.98%；科学技术支出21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414元，占0.01%；社会保障和就业支出10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194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236元，占3.63%；卫生健康支出5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514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332.05元，占1.96%；债务付息支出1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174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221元，占0.42%。</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180,440,221.00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280,993,144.83</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155.73%</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1.一般公共服务支出(类)网信事务（款）信息安全事务（项）年初预算为71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890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000元，支出决算为169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407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192.94元，完成年初预算的235.65%，决算数大于年初预算数的主要原因是信息化项目有所增加。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2.一般公共服务支出(类)网信事务（款）事业运行（项）年初预算为91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539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000元，支出决算为94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681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748.84元，完成年初预算的103.43%，决算数大于年初预算数的主要原因是课题经费有所增加。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3.科学技术支出（类）基础研究（款）专项基础科研（项）年初预算为0.00元，追加预算为21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414元，支出决算为21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414元，决算数等于追加预算数，决算数大于年初预算数的主要原因是追加了专项基础研究支出。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4.社会保障和就业支出（类）行政事业单位养老支出（款）机关事业单位基本养老保险缴费支出（项）年初预算为6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846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795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824元，</w:t>
      </w:r>
      <w:r>
        <w:rPr>
          <w:rFonts w:hint="eastAsia" w:ascii="仿宋_GB2312" w:hAnsi="仿宋_GB2312" w:eastAsia="仿宋_GB2312"/>
          <w:sz w:val="30"/>
          <w:szCs w:val="24"/>
          <w:highlight w:val="none"/>
          <w:lang w:val="en-US"/>
        </w:rPr>
        <w:t>完成年初预算的99.27%</w:t>
      </w:r>
      <w:r>
        <w:rPr>
          <w:rFonts w:hint="eastAsia" w:ascii="仿宋_GB2312" w:hAnsi="仿宋_GB2312" w:eastAsia="仿宋_GB2312"/>
          <w:sz w:val="30"/>
          <w:szCs w:val="24"/>
          <w:highlight w:val="none"/>
          <w:lang w:val="en-US" w:eastAsia="zh-CN"/>
        </w:rPr>
        <w:t>，</w:t>
      </w:r>
      <w:r>
        <w:rPr>
          <w:rFonts w:hint="eastAsia" w:ascii="Times New Roman" w:hAnsi="Times New Roman" w:eastAsia="仿宋_GB2312" w:cs="仿宋_GB2312"/>
          <w:sz w:val="30"/>
          <w:szCs w:val="30"/>
          <w:highlight w:val="none"/>
          <w:lang w:eastAsia="zh-CN"/>
        </w:rPr>
        <w:t>决算数小于年初预算数的主要原因是人员动态变化。</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5.社会保障和就业支出（类）行政事业单位养老支出（款）机关事业单位职业年金缴费支出（项）年初预算为3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423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398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412元，</w:t>
      </w:r>
      <w:r>
        <w:rPr>
          <w:rFonts w:hint="eastAsia" w:ascii="仿宋_GB2312" w:hAnsi="仿宋_GB2312" w:eastAsia="仿宋_GB2312"/>
          <w:sz w:val="30"/>
          <w:szCs w:val="24"/>
          <w:highlight w:val="none"/>
          <w:lang w:val="en-US"/>
        </w:rPr>
        <w:t>完成年初预算的99.</w:t>
      </w:r>
      <w:r>
        <w:rPr>
          <w:rFonts w:hint="eastAsia" w:ascii="仿宋_GB2312" w:hAnsi="仿宋_GB2312" w:eastAsia="仿宋_GB2312"/>
          <w:sz w:val="30"/>
          <w:szCs w:val="24"/>
          <w:highlight w:val="none"/>
          <w:lang w:val="en-US" w:eastAsia="zh-CN"/>
        </w:rPr>
        <w:t>28</w:t>
      </w:r>
      <w:r>
        <w:rPr>
          <w:rFonts w:hint="eastAsia" w:ascii="仿宋_GB2312" w:hAnsi="仿宋_GB2312" w:eastAsia="仿宋_GB2312"/>
          <w:sz w:val="30"/>
          <w:szCs w:val="24"/>
          <w:highlight w:val="none"/>
          <w:lang w:val="en-US"/>
        </w:rPr>
        <w:t>%</w:t>
      </w:r>
      <w:r>
        <w:rPr>
          <w:rFonts w:hint="eastAsia" w:ascii="仿宋_GB2312" w:hAnsi="仿宋_GB2312" w:eastAsia="仿宋_GB2312"/>
          <w:sz w:val="30"/>
          <w:szCs w:val="24"/>
          <w:highlight w:val="none"/>
          <w:lang w:val="en-US" w:eastAsia="zh-CN"/>
        </w:rPr>
        <w:t>，</w:t>
      </w:r>
      <w:r>
        <w:rPr>
          <w:rFonts w:hint="eastAsia" w:ascii="Times New Roman" w:hAnsi="Times New Roman" w:eastAsia="仿宋_GB2312" w:cs="仿宋_GB2312"/>
          <w:sz w:val="30"/>
          <w:szCs w:val="30"/>
          <w:highlight w:val="none"/>
          <w:lang w:eastAsia="zh-CN"/>
        </w:rPr>
        <w:t>决算数小于年初预算数的主要原因是人员动态变化。</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6.卫生健康支出（类）行政事业单位医疗（款）行政单位医疗（项）年初预算为528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000元，支出决算为500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995.25元，完成年初预算的</w:t>
      </w:r>
      <w:r>
        <w:rPr>
          <w:rFonts w:hint="eastAsia" w:ascii="Times New Roman" w:hAnsi="Times New Roman" w:eastAsia="仿宋_GB2312" w:cs="仿宋_GB2312"/>
          <w:sz w:val="30"/>
          <w:szCs w:val="30"/>
          <w:highlight w:val="none"/>
          <w:lang w:val="en-US" w:eastAsia="zh-CN"/>
        </w:rPr>
        <w:t>94.89%，</w:t>
      </w:r>
      <w:r>
        <w:rPr>
          <w:rFonts w:hint="eastAsia" w:ascii="Times New Roman" w:hAnsi="Times New Roman" w:eastAsia="仿宋_GB2312" w:cs="仿宋_GB2312"/>
          <w:sz w:val="30"/>
          <w:szCs w:val="30"/>
          <w:highlight w:val="none"/>
          <w:lang w:eastAsia="zh-CN"/>
        </w:rPr>
        <w:t>决算数小于年初预算数的主要原因是人员动态变化。</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7.卫生健康支出（类）行政事业单位医疗（款）事业单位医疗（项）年初预算为3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985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965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w:t>
      </w:r>
      <w:r>
        <w:rPr>
          <w:rFonts w:hint="eastAsia" w:ascii="仿宋_GB2312" w:hAnsi="仿宋_GB2312" w:eastAsia="仿宋_GB2312"/>
          <w:sz w:val="30"/>
          <w:szCs w:val="24"/>
          <w:highlight w:val="none"/>
          <w:lang w:val="en-US"/>
        </w:rPr>
        <w:t>完成年初预算的99.50%，</w:t>
      </w:r>
      <w:r>
        <w:rPr>
          <w:rFonts w:hint="eastAsia" w:ascii="Times New Roman" w:hAnsi="Times New Roman" w:eastAsia="仿宋_GB2312" w:cs="仿宋_GB2312"/>
          <w:sz w:val="30"/>
          <w:szCs w:val="30"/>
          <w:highlight w:val="none"/>
          <w:lang w:eastAsia="zh-CN"/>
        </w:rPr>
        <w:t>决算数小于年初预算数的主要原因是人员动态变化。</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8.卫生健康支出（类）行政事业单位医疗（款）公务员医疗补助（项）年初预算为101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000元，支出决算为94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353元，</w:t>
      </w:r>
      <w:r>
        <w:rPr>
          <w:rFonts w:hint="eastAsia" w:ascii="仿宋_GB2312" w:hAnsi="仿宋_GB2312" w:eastAsia="仿宋_GB2312"/>
          <w:sz w:val="30"/>
          <w:szCs w:val="24"/>
          <w:highlight w:val="none"/>
          <w:lang w:val="en-US"/>
        </w:rPr>
        <w:t>完成年初预算的93.42%，</w:t>
      </w:r>
      <w:r>
        <w:rPr>
          <w:rFonts w:hint="eastAsia" w:ascii="Times New Roman" w:hAnsi="Times New Roman" w:eastAsia="仿宋_GB2312" w:cs="仿宋_GB2312"/>
          <w:sz w:val="30"/>
          <w:szCs w:val="30"/>
          <w:highlight w:val="none"/>
          <w:lang w:eastAsia="zh-CN"/>
        </w:rPr>
        <w:t>决算数小于年初预算数的主要原因是人员动态变化。</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9.卫生健康支出（类）行政事业单位医疗（款）其他行政事业单位医疗支出（项）年初预算为954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000元，支出决算为953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983.80元，</w:t>
      </w:r>
      <w:r>
        <w:rPr>
          <w:rFonts w:hint="eastAsia" w:ascii="仿宋_GB2312" w:hAnsi="仿宋_GB2312" w:eastAsia="仿宋_GB2312"/>
          <w:sz w:val="30"/>
          <w:szCs w:val="24"/>
          <w:highlight w:val="none"/>
          <w:lang w:val="en-US"/>
        </w:rPr>
        <w:t>完成年初预算的</w:t>
      </w:r>
      <w:r>
        <w:rPr>
          <w:rFonts w:hint="eastAsia" w:ascii="仿宋_GB2312" w:hAnsi="仿宋_GB2312" w:eastAsia="仿宋_GB2312"/>
          <w:sz w:val="30"/>
          <w:szCs w:val="24"/>
          <w:highlight w:val="none"/>
          <w:lang w:val="en-US" w:eastAsia="zh-CN"/>
        </w:rPr>
        <w:t>99.99</w:t>
      </w:r>
      <w:r>
        <w:rPr>
          <w:rFonts w:hint="eastAsia" w:ascii="仿宋_GB2312" w:hAnsi="仿宋_GB2312" w:eastAsia="仿宋_GB2312"/>
          <w:sz w:val="30"/>
          <w:szCs w:val="24"/>
          <w:highlight w:val="none"/>
          <w:lang w:val="en-US"/>
        </w:rPr>
        <w:t>%</w:t>
      </w:r>
      <w:r>
        <w:rPr>
          <w:rFonts w:hint="eastAsia" w:ascii="仿宋_GB2312" w:hAnsi="仿宋_GB2312" w:eastAsia="仿宋_GB2312"/>
          <w:sz w:val="30"/>
          <w:szCs w:val="24"/>
          <w:highlight w:val="none"/>
          <w:lang w:val="en-US" w:eastAsia="zh-CN"/>
        </w:rPr>
        <w:t>,</w:t>
      </w:r>
      <w:r>
        <w:rPr>
          <w:rFonts w:hint="eastAsia" w:ascii="Times New Roman" w:hAnsi="Times New Roman" w:eastAsia="仿宋_GB2312" w:cs="仿宋_GB2312"/>
          <w:sz w:val="30"/>
          <w:szCs w:val="30"/>
          <w:highlight w:val="none"/>
          <w:lang w:eastAsia="zh-CN"/>
        </w:rPr>
        <w:t>决算数年初预算数的主要原因是人员动态变化。</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10.债务付息支出（类）地方政府一般债务付息支出（款）地方政府一般债务付息支出（项）年初预算为1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174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221元，支出决算为1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174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221元，完成年初预算的100%</w:t>
      </w:r>
      <w:r>
        <w:rPr>
          <w:rFonts w:hint="eastAsia" w:ascii="Times New Roman" w:hAnsi="Times New Roman" w:eastAsia="仿宋_GB2312" w:cs="仿宋_GB2312"/>
          <w:sz w:val="30"/>
          <w:szCs w:val="30"/>
          <w:highlight w:val="none"/>
          <w:lang w:val="en-US" w:eastAsia="zh-CN"/>
        </w:rPr>
        <w:t>，决算数等于年初预算数</w:t>
      </w:r>
      <w:r>
        <w:rPr>
          <w:rFonts w:hint="eastAsia" w:ascii="Times New Roman" w:hAnsi="Times New Roman" w:eastAsia="仿宋_GB2312" w:cs="仿宋_GB2312"/>
          <w:sz w:val="30"/>
          <w:szCs w:val="30"/>
          <w:highlight w:val="none"/>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天津市大数据管理中心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110,390,316.89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8,052,530.03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职工薪级工资调整、职称晋升、社保和公积金缴费基数调整等。</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99,610,844.26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医疗费、其他工资福利支出、离休费、退休费、抚恤金、医疗费补助、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10,779,472.63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水费、电费、邮电费、取暖费、物业管理费、差旅费、维修(护)费、培训费、委托业务费、工会经费、福利费、公务用车运行维护费、其他交通费用、税金及附加费用、其他商品和服务支出、办公设备购置、公务用车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天津市大数据管理中心2023年度无政府性基金预算财政拨款收入、支出和结转结余。</w:t>
      </w:r>
      <w:r>
        <w:rPr>
          <w:rFonts w:hint="eastAsia" w:ascii="Times New Roman" w:hAnsi="Times New Roman" w:eastAsia="仿宋_GB2312" w:cs="仿宋_GB2312"/>
          <w:sz w:val="30"/>
          <w:szCs w:val="30"/>
          <w:highlight w:val="none"/>
          <w:lang w:eastAsia="zh-CN"/>
        </w:rPr>
        <w:tab/>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天津市大数据管理中心2023年度无国有资本经营预算财政拨款收入、支出和结转结余。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290,000.00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261,427.63</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28,572.37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90.15</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14,177.49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5.14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厉行节约，落实过紧日子思想，合理安排三公经费支出，严格按照预算执行。</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280,000.00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261,427.63</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18,572.37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93.37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14,177.49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5.14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厉行节约，合理安排公务用车使用，严格按照预算执行。</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90,087.54</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9,912.46</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90.09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5,717.58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5.97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厉行节约，严格控制公务用车运行维护费支出，合理安排公务用车使用。</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w:t>
      </w:r>
      <w:bookmarkStart w:id="0" w:name="_GoBack"/>
      <w:bookmarkEnd w:id="0"/>
      <w:r>
        <w:rPr>
          <w:rFonts w:hint="eastAsia" w:ascii="Times New Roman" w:hAnsi="Times New Roman" w:eastAsia="仿宋_GB2312" w:cs="仿宋_GB2312"/>
          <w:kern w:val="0"/>
          <w:sz w:val="30"/>
          <w:szCs w:val="30"/>
          <w:highlight w:val="none"/>
        </w:rPr>
        <w:t>公务用车保有量为</w:t>
      </w:r>
      <w:r>
        <w:rPr>
          <w:rFonts w:hint="eastAsia" w:ascii="Times New Roman" w:hAnsi="Times New Roman" w:eastAsia="仿宋_GB2312" w:cs="Times New Roman"/>
          <w:kern w:val="0"/>
          <w:sz w:val="30"/>
          <w:szCs w:val="30"/>
          <w:highlight w:val="none"/>
          <w:lang w:eastAsia="zh-CN"/>
        </w:rPr>
        <w:t>7</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180,000.00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171,340.09</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8,659.91</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95.19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8,459.91</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4.71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厉行节约，严格控制公务用车购置费支出</w:t>
      </w:r>
      <w:r>
        <w:rPr>
          <w:rFonts w:hint="eastAsia" w:ascii="Times New Roman" w:hAnsi="Times New Roman" w:eastAsia="仿宋_GB2312" w:cs="仿宋_GB2312"/>
          <w:kern w:val="0"/>
          <w:sz w:val="30"/>
          <w:szCs w:val="30"/>
          <w:highlight w:val="none"/>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天津市大数据管理中心2023年度无机关运行经费。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天津市大数据管理中心</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153,314,927.56</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5,727,969.00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147,586,958.56</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61,642,227.56</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40.21%</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38,117,627.56</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24.86%</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30.61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40.58</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天津市大数据管理中心</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7</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5</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业务用车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根据预算绩效管理要求，天津市大数据管理中心2023年度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已对72个市级项目开展绩效自评，涉及金额135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127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321元，自评结果已随部门决算一并公开；已对2个项目开展部门评价，涉及金额5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462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100元。</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天津市大数据管理中心不属于乡、镇、街级单位，不涉及公开2023年度教育、医疗卫生、社会保障和就业、住房保障、涉农补贴等民生支出情况。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5MzNiZGRhOWRiOTFkNGYxOGU0YjQyMzA3NTQ5OTk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05114AE"/>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9E71DF3"/>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6BF5BF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14</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hp</cp:lastModifiedBy>
  <dcterms:modified xsi:type="dcterms:W3CDTF">2024-08-08T06:31:00Z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D54A483123074F56A4E27E5FB5DF666A_13</vt:lpwstr>
  </property>
</Properties>
</file>