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天津市作家协会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天津市作家协会负责编辑文学刊物及工作信息，繁荣天津市文学创作，展示天津市文学创作实绩，发现和扶植文学新人；负责文学创作研究、负责管理天津市的文学创作队伍、合同制作家的管理；组织作家进行文学创作、交流，沟通文学信息；组织开展文学公益活动；组织作家深入生活；加强与中国作协、兄弟省市作协的交流和联系；积极发挥文学的导向作用，努力发展先进文化，繁荣我市文学创作，加强我市文学事业建设。</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天津市作家协会内设2个职能处室。纳入天津市作家协会2023年度部门决算编制范围的单位包括：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1.天津市作家协会(本级)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1.天津市作家协会2023年度政府性基金预算财政拨款收入支出决算表为空表。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2.天津市作家协会2023年度国有资本经营预算财政拨款收入支出决算表为空表。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天津市作家协会2023年度收入、支出决算总计</w:t>
      </w:r>
      <w:r>
        <w:rPr>
          <w:rFonts w:hint="eastAsia" w:ascii="Times New Roman" w:hAnsi="Times New Roman" w:eastAsia="仿宋_GB2312" w:cs="仿宋_GB2312"/>
          <w:sz w:val="30"/>
          <w:szCs w:val="30"/>
        </w:rPr>
        <w:t>15,494,299.22元，与2022年度相比，收、支总计各减少1,018,577.06元，下降6.17%，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：有在职人员转退休和过紧日子压减公用经费。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天津市作家协会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15,410,847.70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年度相比减少860,879.03元，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：有在职人员转退休和过紧日子压减公用经费。</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15,390,079.60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99.87</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20,768.10元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天津市作家协会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年度本年支出合计15,387,845.36元，与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年度相比减少959,587.11元，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有在职人员转退休和过紧日子压减公用经费。</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14,228,636.88元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占92.47%；</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1,159,208.48元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占7.53%。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天津市作家协会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15,390,487.60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年度相比，财政拨款收、支总计各减少1,033,106.16元，下降6.29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有在职人员转退休和过紧日子压减公用经费。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天津市作家协会2023年度部门决算一般公共预算财政拨款支出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计15,381,156.60元，占本年支出合计的99.96%，与2022年度相比，一般公共预算财政拨款支出减少960,036.87元，下降5.87%，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：有在职人员转退休和过紧日子压减公用经费。</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15,381,156.60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486.60元，占43.59%；文化旅游体育与传媒支出6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885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533.19元，占44.77%；社会保障和就业支出1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197.36元，占7.51%；卫生健康支出635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939.45元，占4.13%。</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15,572,000.00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15,381,156.60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98.77%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一般公共服务支出（类）群众团体事物（款）行政运行（项）年初预算为6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154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704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486.60元，完成年初预算的108.95%，决算数大于年初预算数的主要原因是新增人员，追加经费。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2.文化旅游体育与传媒支出（类）文化和旅游（款）文化创作与保护（项）年初预算为7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127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976.11元，完成年初预算的91.57%，决算数小于年初预算数的主要原因是有在职人员转退休。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3.文化旅游体育与传媒支出（类）其他文化旅游体育与传媒支出（款）其他文化旅游体育与传媒支出（项）年初预算为300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元，支出决算为359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557.08元，完成年初预算的</w:t>
      </w:r>
      <w:r>
        <w:rPr>
          <w:rFonts w:ascii="Times New Roman" w:hAnsi="Times New Roman" w:eastAsia="仿宋_GB2312" w:cs="仿宋_GB2312"/>
          <w:sz w:val="30"/>
          <w:szCs w:val="30"/>
        </w:rPr>
        <w:t>119.85</w:t>
      </w:r>
      <w:r>
        <w:rPr>
          <w:rFonts w:hint="eastAsia" w:ascii="Times New Roman" w:hAnsi="Times New Roman" w:eastAsia="仿宋_GB2312" w:cs="仿宋_GB2312"/>
          <w:sz w:val="30"/>
          <w:szCs w:val="30"/>
        </w:rPr>
        <w:t>%，决算数大于年初预算数的主要原因是追加抚恤金。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 社会保障和就业支出（类）行政事业单位养老支出（款）机关事业单位基本养老保险缴费支出（项）年初预算为794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元，支出决算为767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798.24元，完成年初预算的96.70%，决算数小于年初预算数的主要原因是有在职人员转退休。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 社会保障和就业支出（类）行政事业单位养老支出（款）机关事业单位职业年金缴费支出（项）年初预算为397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元，支出决算为387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399.12元，完成年初预算的</w:t>
      </w:r>
      <w:r>
        <w:rPr>
          <w:rFonts w:ascii="Times New Roman" w:hAnsi="Times New Roman" w:eastAsia="仿宋_GB2312" w:cs="仿宋_GB2312"/>
          <w:sz w:val="30"/>
          <w:szCs w:val="30"/>
        </w:rPr>
        <w:t>97.58</w:t>
      </w:r>
      <w:r>
        <w:rPr>
          <w:rFonts w:hint="eastAsia" w:ascii="Times New Roman" w:hAnsi="Times New Roman" w:eastAsia="仿宋_GB2312" w:cs="仿宋_GB2312"/>
          <w:sz w:val="30"/>
          <w:szCs w:val="30"/>
        </w:rPr>
        <w:t>%，决算数小于年初预算数的主要原因是有在职人员转退休。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 卫生健康支出(类)行政事业单位医疗(款)行政单位医疗(项)年初预算为276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000.00元，支出决算为281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990.57元，完成年初预算的102.17%，决算数大于年初预算数的主要原因是：新增人员增加人员经费。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7.卫生健康支出(类)行政事业单位医疗(款)事业单位医疗(项)年初预算为326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000.00元，支出决算为299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788.36元，完成年初预算的91.96%，决算数小于年初预算数的主要原因是：有在职人员转退休。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8.卫生健康支出(类)行政事业单位医疗(款)公务员医疗补助(项)年初预算为53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000.00元，支出决算为54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160.52元，完成年初预算的102.19%，决算数大于年初预算数的主要原因是新增人员增加</w:t>
      </w:r>
      <w:r>
        <w:rPr>
          <w:rFonts w:ascii="Times New Roman" w:hAnsi="Times New Roman" w:eastAsia="仿宋_GB2312" w:cs="仿宋_GB2312"/>
          <w:sz w:val="30"/>
          <w:szCs w:val="30"/>
        </w:rPr>
        <w:t>人员</w:t>
      </w:r>
      <w:r>
        <w:rPr>
          <w:rFonts w:hint="eastAsia" w:ascii="Times New Roman" w:hAnsi="Times New Roman" w:eastAsia="仿宋_GB2312" w:cs="仿宋_GB2312"/>
          <w:sz w:val="30"/>
          <w:szCs w:val="30"/>
        </w:rPr>
        <w:t>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天津市作家协会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14,221,948.12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年度相比减少699,482.56元，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有在职人员转退休和过紧日子压减公用经费。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11,886,189.14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2,335,758.98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办公费、手续费、水费、电费、邮电费、物业管理费、差旅费、培训费、劳务费、工会经费、福利费、公务用车运行维护费、其他交通费用、税金及附加费用、其他商品和服务支出、办公设备购置。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天津市作家协会2023年度无政府性基金预算财政拨款收入、支出和结转结余。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天津市作家协会2023年度无国有资本经营预算财政拨款收入、支出和结转结余。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元，完成预算的71.43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66.67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预算数的主要原因是：合理安排</w:t>
      </w:r>
      <w:r>
        <w:rPr>
          <w:rFonts w:hint="eastAsia" w:ascii="Times New Roman" w:hAnsi="Times New Roman" w:eastAsia="仿宋_GB2312" w:cs="仿宋_GB2312"/>
          <w:kern w:val="0"/>
          <w:sz w:val="30"/>
          <w:szCs w:val="30"/>
          <w:lang w:eastAsia="zh-CN"/>
        </w:rPr>
        <w:t>三公经费支出</w:t>
      </w:r>
      <w:r>
        <w:rPr>
          <w:rFonts w:hint="eastAsia" w:ascii="Times New Roman" w:hAnsi="Times New Roman" w:eastAsia="仿宋_GB2312" w:cs="仿宋_GB2312"/>
          <w:kern w:val="0"/>
          <w:sz w:val="30"/>
          <w:szCs w:val="30"/>
        </w:rPr>
        <w:t>，严格按照预算执行</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油价上涨，增加了燃油费。</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w:t>
      </w:r>
      <w:r>
        <w:rPr>
          <w:rFonts w:hint="eastAsia" w:ascii="Times New Roman" w:hAnsi="Times New Roman" w:eastAsia="仿宋_GB2312" w:cs="仿宋_GB2312"/>
          <w:sz w:val="30"/>
          <w:szCs w:val="30"/>
          <w:lang w:eastAsia="zh-CN"/>
        </w:rPr>
        <w:t>未用财政拨款经费</w:t>
      </w:r>
      <w:r>
        <w:rPr>
          <w:rFonts w:hint="eastAsia" w:ascii="Times New Roman" w:hAnsi="Times New Roman" w:eastAsia="仿宋_GB2312" w:cs="仿宋_GB2312"/>
          <w:sz w:val="30"/>
          <w:szCs w:val="30"/>
        </w:rPr>
        <w:t>列因公出国（境）费</w:t>
      </w:r>
      <w:r>
        <w:rPr>
          <w:rFonts w:hint="eastAsia" w:ascii="Times New Roman" w:hAnsi="Times New Roman" w:eastAsia="仿宋_GB2312" w:cs="仿宋_GB2312"/>
          <w:kern w:val="0"/>
          <w:sz w:val="30"/>
          <w:szCs w:val="30"/>
        </w:rPr>
        <w:t>预算</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66.67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油价上涨，增加了燃油费。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66.67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油价上涨，增加了燃油费。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天津市作家协会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2,335,758.98</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年减少271,511.89元，降低10.41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过紧日子，压减机关运行经费支出。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天津市作家协会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1,137,881.21</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1,137,881.21</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天津市作家协会2023年度无国有资产占有使用情况。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根据预算绩效管理要求，天津市作家协会2023年度已对4个市级项目开展绩效自评，涉及金额1,159,208.48元，自评结果已随部门决算一并公开。本部门2023年度</w:t>
      </w:r>
      <w:r>
        <w:rPr>
          <w:rFonts w:ascii="Times New Roman" w:hAnsi="Times New Roman" w:eastAsia="仿宋_GB2312" w:cs="仿宋_GB2312"/>
          <w:sz w:val="30"/>
          <w:szCs w:val="30"/>
        </w:rPr>
        <w:t>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天津市作家协会不属于乡、镇、街级单位，不涉及公开2023年度教育、医疗卫生、社会保障和就业、住房保障、涉农补贴等民生支出情况。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3F54"/>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F22B6"/>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27780"/>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29B0"/>
    <w:rsid w:val="00C65A44"/>
    <w:rsid w:val="00C76AC3"/>
    <w:rsid w:val="00C83EB4"/>
    <w:rsid w:val="00CC5C68"/>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6531F9"/>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817</Words>
  <Characters>4658</Characters>
  <Lines>38</Lines>
  <Paragraphs>10</Paragraphs>
  <TotalTime>16</TotalTime>
  <ScaleCrop>false</ScaleCrop>
  <LinksUpToDate>false</LinksUpToDate>
  <CharactersWithSpaces>5465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2024-08-05T07:15:00Z</dcterms:created>
  <dc:creator>office</dc:creator>
  <cp:lastModifiedBy>Dell</cp:lastModifiedBy>
  <dcterms:modified xsi:type="dcterms:W3CDTF">2024-08-16T08:36:13Z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