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天津市公安局交通警察总队</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天津市公安交通管理局（</w:t>
      </w:r>
      <w:bookmarkStart w:id="0" w:name="_GoBack"/>
      <w:r>
        <w:rPr>
          <w:rFonts w:hint="eastAsia" w:ascii="Times New Roman" w:hAnsi="Times New Roman" w:eastAsia="仿宋_GB2312" w:cs="仿宋_GB2312"/>
          <w:sz w:val="30"/>
          <w:szCs w:val="30"/>
          <w:highlight w:val="none"/>
          <w:lang w:eastAsia="zh-CN"/>
        </w:rPr>
        <w:t>天津市公安局交通警察总队</w:t>
      </w:r>
      <w:bookmarkEnd w:id="0"/>
      <w:r>
        <w:rPr>
          <w:rFonts w:hint="eastAsia" w:ascii="Times New Roman" w:hAnsi="Times New Roman" w:eastAsia="仿宋_GB2312" w:cs="仿宋_GB2312"/>
          <w:sz w:val="30"/>
          <w:szCs w:val="30"/>
          <w:highlight w:val="none"/>
          <w:lang w:eastAsia="zh-CN"/>
        </w:rPr>
        <w:t>）隶属天津市公安局，于1991年升格为副局级单位，直管市内六区、直属、高速公路交警支队，业务指导滨海新区、环城四区、新五区、天津港、铁城、机场交警支队。主要职责是负责起草道路交通管理方面的地方性法规草案、政府规章草案，拟订有关规范性文件；负责维护道路交通安全和交通秩序，查处交通违法行为，调查处理道路交通事故；负责党和国家领导人、重要外宾在津的道路交通安全警卫工作，以及大型活动的道路交通安全组织保障；负责中心城区道路交通管理科技设施和道路交通安全设施管理；依法开展道路交通事故预防工作；负责机动车辆安全检验、牌证发放和驾驶人考核发证；负责组织开展道路交通安全宣传教育工作；负责对全市各级公安交管单位执勤执法的监督检查，受理有关行政复议，负责有关行政诉讼案件的应诉工作；负责公安交管系统民警和警务辅助人员的教育、培训和考核；完成市委、市政府、公安部和市公安局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天津市公安局交通警察总队内设8个职能处室；下辖11个预算单位。纳入天津市公安局交通警察总队2023年度部门决算编制范围的单位包括：</w:t>
      </w:r>
    </w:p>
    <w:p>
      <w:pPr>
        <w:autoSpaceDE w:val="0"/>
        <w:autoSpaceDN w:val="0"/>
        <w:adjustRightInd w:val="0"/>
        <w:spacing w:line="600" w:lineRule="exact"/>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天津市公安局交通警察总队（本级）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 天津市公安交通管理局和平交警支队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 天津市公安局交通警察总队河东交警支队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 天津市公安交通管理局河北交警支队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 天津市公安局交通警察总队河西交警支队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 天津市公安交通管理局南开交警支队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 天津市公安局交通警察总队红桥交警支队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 天津市公安局交通警察总队事故处理和预防支队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 天津市公安局交通警察总队科技和设施保障支队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 天津市公安局车辆管理所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 天津市公安局交通警察总队直属支队</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 天津市公安局交通警察总队高速公路支队</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天津市公安局交通警察总队2023年度政府性基金预算财政拨款收入支出决算表为空表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2.天津市公安局交通警察总队2023年度国有资本经营预算财政拨款收入支出决算表为空表。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天津市公安局交通警察总队2023年度收入、支出决算总计</w:t>
      </w:r>
      <w:r>
        <w:rPr>
          <w:rFonts w:hint="eastAsia" w:ascii="Times New Roman" w:hAnsi="Times New Roman" w:eastAsia="仿宋_GB2312" w:cs="仿宋_GB2312"/>
          <w:sz w:val="30"/>
          <w:szCs w:val="30"/>
          <w:highlight w:val="none"/>
          <w:lang w:eastAsia="zh-CN"/>
        </w:rPr>
        <w:t>1,509,875,682.15元，与2022年度相比，收、支总计各增加78,340,693.93元，增长5.47%，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：增加用于交通安全设施、科技设施建设和维护支出拨款，同时按政策调整社保缴费基数，相应增加社保缴费收入。</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天津市公安局交通警察总队</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1,504,308,487.28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增加101,882,791.35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增加用于交通安全设施、科技设施建设和维护支出拨款，同时按政策调整社保缴费基数，相应增加社保缴费收入。</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1,504,210,595.92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99.99</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97,891.36元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0.01%</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天津市公安局交通警察总队</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1,506,541,843.56</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80,574,050.21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增加用于交通安全设施、科技设施建设和维护支出拨款，同时按政策调整社保缴费基数，相应增加社保缴费支出。</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1,201,625,013.33元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79.76</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304,916,830.23元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占20.24%。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天津市公安局交通警察总队</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1,504,343,511.87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90,791,854.63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6.42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增加用于交通安全设施、科技设施建设和维护支出拨款，同时按政策调整社保缴费基数，相应增加社保缴费收支。</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天津市公安局交通警察总队2023年度部门决算一般公共预算财政拨款支出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计1,504,343,511.87元，占本年支出合计的99.85%，与2022年度相比，一般公共预算财政拨款支出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90,924,770.58元，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6.43%，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：增加用于交通安全设施、科技设施建设和维护支出拨款，同时按政策调整社保缴费基数，相应增加社保缴费收支。</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1,504,343,511.87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公共安全支出1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292.63元，占88.94%；社会保障和就业支出85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273.46元，占5.67%；卫生健康支出45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546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728.78元，占3.03%；债务付息支出35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217元，占2.3</w:t>
      </w:r>
      <w:r>
        <w:rPr>
          <w:rFonts w:hint="eastAsia" w:ascii="Times New Roman" w:hAnsi="Times New Roman" w:eastAsia="仿宋_GB2312" w:cs="仿宋_GB2312"/>
          <w:sz w:val="30"/>
          <w:szCs w:val="30"/>
          <w:highlight w:val="none"/>
          <w:lang w:val="en-US" w:eastAsia="zh-CN"/>
        </w:rPr>
        <w:t>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1,379,382,217.00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1,504,343,511.87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109.06%</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1、公共安全支出(类)公安(款)行政运行(项)年初预算为1,050,541,000.00元，支出决算为1,068,651,679.40元，完成年初预算的101.72%，决算数大于年初预算数的主要原因是预算执行中经费调整调剂，增加行政运行拨款。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2、公共安全支出(类)公安(款)信息化建设(项)年初预算为0.00元，追加预算为2,501,180.00元，支出决算为2,501,180.00元，完成追加预算的100%，决算数等于追加预算数的主要原因是追加了信息化建设专项拨款。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3、公共安全支出(类)公安(款)执法办案(项)年初预算为93,500,000.00元，支出决算为91,512,786.21元，完成年初预算的97.87%，决算数小于年初预算数的主要原因部分项目未结项，按支付进度结转下年度使用。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公共安全支出(类)公安(款)其他公安支出(项)年初预算为58,950,000.00元，支出决算为175,299,647.02元，完成年初预算的297.37%，决算数大于年初预算数的主要原因是年度预算执行中追加交通科技及安全设施等专项拨款。</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社会保障和就业支出(类)行政事业单位养老支出(款)机关事业单位基本养老保险缴费支出(项)年初预算为61,673,000.00元，支出决算为56,805,646.65元，完成年初预算的92.11%，决算数小于年初预算数的主要原因是年度增加退休人员，减少了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社会保障和就业支出(类)行政事业单位养老支出(款)机关事业单位职业年金缴费支出(项)年初预算为30,836,000.00元，支出决算为28,422,626.81元，完成年初预算的92.17%，决算数小于年初预算数的主要原因是年度增加退休人员，减少了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7、卫生健康支出(类)行政事业单位医疗(款)行政单位医疗(项)年初预算为40,571,000.00元，支出决算为38,435,586.98元，完成年初预算的94.74%，决算数小于年初预算数的主要原因是年度增加退休人员，减少了经费支出。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8、卫生健康支出(类)行政事业单位医疗(款)公务员医疗补助(项)年初预算为7,708,000.00元，支出决算为7,111,141.80元，完成年初预算的92.26%，决算数小于年初预算数的主要原因是年度增加退休人员，减少了经费支出。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9、债务付息支出(类)地方政府一般债务付息支出(款)地方政府一般债券付息支出(项)年初预算为35,603,000.00元，支出决算为35,603,217.00元，完成年初预算的100.00%，决算数等于年初预算数。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天津市公安局交通警察总队</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1,199,426,681.64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7,507,372.35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厉行节约过紧日子，压减基本支出预算。</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1,063,788,245.84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离休费、退休费、退职（役）费、生活补助、医疗费补助、代缴社会保险费、其他对个人和家庭的补助。</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135,638,435.80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电费、邮电费、取暖费、物业管理费、差旅费、维修(护)费、租赁费、培训费、专用材料费、专用燃料费、劳务费、委托业务费、工会经费、福利费、公务用车运行维护费、其他交通费用、其他商品和服务支出、办公设备购置、专用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天津市公安局交通警察总队2023年度无政府性基金预算财政拨款收入、支出和结转结余。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天津市公安局交通警察总队2023年度无国有资本经营预算财政拨款收入、支出和结转结余。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10,400,000.00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10,194,516.42</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205,483.58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98.02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857,179.16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7.76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厉行节约，严格控制“三公”经费开支。</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100,000.00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因公出国（境）费</w:t>
      </w:r>
      <w:r>
        <w:rPr>
          <w:rFonts w:hint="eastAsia" w:ascii="Times New Roman" w:hAnsi="Times New Roman" w:eastAsia="仿宋_GB2312" w:cs="仿宋_GB2312"/>
          <w:kern w:val="0"/>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10,200,000.00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10,194,516.42</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5,483.58</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857,179.16</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7.76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厉行节约，严格控制公务用车购置及运行维护费用，不超年初预算执行。</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8,200,000.00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8,196,837.14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3,162.86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276,977.02</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3.27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厉行节约，控制公务用车运行维护费用，严格按照预算执行。</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542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2,000,000.00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1,997,679.28</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2,320.72</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99.88</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580,202.14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22.51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厉行节约，严格控制公务用车采购成本</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达到报废更新标准的车辆少于上年同期数。</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16</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100,000.00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，且较上年减少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天津市公安局交通警察总队</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135,638,435.80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1,674,179.03</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1.25</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人员较上年增加，日常公用经费拨款略有增加，相应机关运行费用增加。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天津市公安局交通警察总队</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244,015,902.04</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30,382,669.60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4,265,998.36</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209,367,234.08</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232,945,855.27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95.46%</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195,140,615.57</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79.97%</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98.34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90.95</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95.14</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天津市公安局交通警察总队</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534</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529</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5</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安全设施特种行业专业用车。</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125</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xml:space="preserve">根据预算绩效管理要求，天津市公安局交通警察总队2023年度已对51个市级项目开展绩效自评，涉及金额307,809,572.6元，自评结果已随部门决算一并公开。本部门2023年度已对2个项目开展部门评价，涉及金额41,470,000元。 </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天津市公安局交通警察总队不属于乡、镇、街级单位，不涉及公开2023年度教育、医疗卫生、社会保障和就业、住房保障、涉农补贴等民生支出情况。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2E5B35"/>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9E9054C"/>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93369C"/>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32</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2024-08-29T09:01:04Z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4D4F250FC8384E0999C9C630D8719D51_13</vt:lpwstr>
  </property>
</Properties>
</file>