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default" w:ascii="Times New Roman" w:hAnsi="Times New Roman" w:eastAsia="方正小标宋简体" w:cs="方正小标宋简体"/>
          <w:kern w:val="0"/>
          <w:sz w:val="48"/>
          <w:szCs w:val="48"/>
          <w:highlight w:val="none"/>
          <w:lang w:val="en-US" w:eastAsia="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天津市卫生健康委员会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贯彻落实卫生健康方面法律法规，研究起草有关地方性法规、政府规章草案、政策、规划和标准并组织实施。统筹规划卫生健康资源配置，负责卫生健康规划的编制和实施。制定并组织实施推进卫生健康基本公共服务均等化、普惠化、便捷化和公共资源向基层延伸等政策措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制定并组织落实疾病预防控制规划、国家免疫规划以及严重危害人民健康公共卫生问题的干预措施，制定监测传染病目录。负责卫生应急工作，组织指导突发公共卫生事件的预防控制和各类突发公共事件的医疗卫生救援。</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4．组织拟订并协调落实应对人口老龄化政策措施，负责推进老年健康服务体系建设和医养结合工作。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5．组织实施国家药物政策和国家基本药物制度，开展药品使用监测、临床综合评价和短缺药品预警。组织开展食品安全风险监测，依法制定并公布食品安全地方标准。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6．负责职责范围内的职业卫生、放射卫生、环境卫生、学校卫生、公共场所卫生、饮用水卫生等公共卫生的监督管理，负责传染病防治监督，健全卫生健康综合监督体系，牵头《烟草控制框架公约》履约工作。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制定医疗机构、医疗服务行业管理办法并监督实施，建立医疗服务评价和监督管理体系。会同有关部门制定并实施卫生健康专业技术人员资格标准。制定并组织实施医疗服务规范、标准和卫生健康专业技术人员执业规则、服务规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8．负责计划生育管理和服务工作，开展人口监测预警，研究提出人口和家庭发展相关政策建议，完善计划生育政策。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9．负责指导基层医疗卫生、妇幼健康服务体系和全科医生队伍建设。推进卫生健康科技创新发展。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10．负责市保健对象的医疗保健工作，负责重要会议与重大活动的医疗卫生保障工作。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拟定中医药发展规划、政策和相关标准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12．指导市计划生育协会的业务工作。承担市老龄工作委员会日常工作。承担市爱国卫生运动委员会日常工作。承担国家卫生区、国家卫生镇、全国计划生育优质服务先进单位评审工作。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13．负责卫生健康领域安全生产管理。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14．负责卫生健康领城人才队伍建设。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15．负贵卫生健康领域对外合作与交流工作。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16．组织推动卫生健康领城招商引资工作。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17．指导各区卫生健康工作。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18．完成市委、市政府交办的其他任务。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职能转变。市卫生健康委员会应当牢固树立大卫生、大健康理念，推动健康天津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天津市卫生健康委员会内设30个职能处室；下辖39个预算单位。纳入天津市卫生健康委员会2023年度部门决算编制范围的单位包括：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行政和参照公务员法管理事业单位3个，包括：天津市卫生健康委员会（机关）、  天津市卫生健康监督所、天津市计划生育协会；</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全额拨款事业单位11个，包括：天津市疾病预防控制中心、天津市卫生健康促进中心、天津医学高等专科学校、天津市医药学（协）会管理办公室、  天津市卫生健康委员会援外办公室、天津市医药科学研究所（天津市医药与健康研究中心）、天津市医学科学技术信息研究所（天津市卫生健康发展研究中心）、天津市中医药研究院、天津市卫生健康委员会综合服务中心、天津市医疗服务评价和指导中心、天津市保健事务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差额拨款事业单位7个，包括：天津市职业病防治院、天津市结核病控制中心、天津市妇女儿童保健中心、天津市和平保育院、天津市血液中心、天津市急救中心、天津市医学考试中心；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差额医疗单位18个，包括：天津市第一中心医院、天津市人民医院、天津市天津医院、天津市第三中心医院、天津市中西医结合医院、天津市肿瘤医院、天津市儿童医院、天津市中心妇产科医院、天津市胸科医院、天津市海河医院、天津市第二人民医院、天津市安定医院、天津市口腔医院、天津市眼科医院、天津市环湖医院、天津市第三中心医院分院、天津市中医药研究院附属医院、天津市第四中心医院。</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天津市卫生健康委员会2023年度收入、支出决算总计</w:t>
      </w:r>
      <w:r>
        <w:rPr>
          <w:rFonts w:hint="eastAsia" w:ascii="Times New Roman" w:hAnsi="Times New Roman" w:eastAsia="仿宋_GB2312" w:cs="仿宋_GB2312"/>
          <w:sz w:val="30"/>
          <w:szCs w:val="30"/>
          <w:highlight w:val="none"/>
          <w:lang w:eastAsia="zh-CN"/>
        </w:rPr>
        <w:t>42,679,516,941.65元，与2022年度相比，收、支总计各增加11,247,526,239.93元，增长35.78%，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：恢复正常就医秩序后，各医疗机构收治病人数量增加导致收入增加。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33,224,725,575.93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增加3,492,374,663.24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恢复正常就医秩序后，各医疗机构收治病人数量增加导致医疗收入增加。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3,900,918,824.50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11.74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63,320,000.00元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0.19%；</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47,000,000.00元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0.14%；</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28,242,280,946.00元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85.0%；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11,242,290.30元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9,450,926.97元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0.03%；</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950,512,588.16元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2.8</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val="zh-CN"/>
        </w:rPr>
        <w:t>%</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32,406,934,486.50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2,633,220,873.37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进入2023年，各项支出均恢复正常年度水平。</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28,875,520,113.04元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89.1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3,513,974,865.66元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占10.84%；</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6,197,217.50元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占0.02%；</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11,242,290.30元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3,968,347,041.13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644,893,929.99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进入2023年，各项支出均恢复正常年度水平。</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计3,901,991,295.66元，占本年支出合计的12.04%，与2022年度相比，一般公共预算财政拨款支出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590,471,172.97元，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17.83%，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：财政加大对卫生健康领域公共卫生服务、学科专科建设等方面投入。</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3,901,991,295.66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教育支出202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592.4元，占5.18%；科学技术支出108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703.2元，占2.79%；社会保障和就业支出635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511.65元，占16.28%；卫生健康支出2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488.41元，占73.84%；城乡社区支出48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000元，占1.25%；债务付息支出14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000元，占0.37%；其他支出11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000元，占0.29%。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2,480,991,050.00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3,901,991,295.66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157.28%</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1.教育支出(类)普通教育(款)学前教育(项)年初预算为28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742.4元，完成年初预算的100%，决算数等于年初预算数。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2.教育支出(类)职业教育(款)高等职业教育(项)年初预算为159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800元，支出决算为173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850元，完成年初预算的108.66%，决算数大于年初预算数的主要原因是教育类项目比去年同期增加。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3.科学技术支出(类)基础研究(款)自然科学基金(项)年初预算为</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元，追加预算为215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463.47元，支出决算为215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463.47元，完成追加预算数的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4.科学技术支出(类)基础研究(款)专项基础科研(项)年初预算为</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元，追加预算为</w:t>
      </w:r>
      <w:r>
        <w:rPr>
          <w:rFonts w:hint="eastAsia" w:ascii="Times New Roman" w:hAnsi="Times New Roman" w:eastAsia="仿宋_GB2312" w:cs="仿宋_GB2312"/>
          <w:sz w:val="30"/>
          <w:szCs w:val="30"/>
          <w:highlight w:val="none"/>
          <w:lang w:val="en-US" w:eastAsia="zh-CN"/>
        </w:rPr>
        <w:t>40元，</w:t>
      </w:r>
      <w:r>
        <w:rPr>
          <w:rFonts w:hint="eastAsia" w:ascii="Times New Roman" w:hAnsi="Times New Roman" w:eastAsia="仿宋_GB2312" w:cs="仿宋_GB2312"/>
          <w:sz w:val="30"/>
          <w:szCs w:val="30"/>
          <w:highlight w:val="none"/>
          <w:lang w:eastAsia="zh-CN"/>
        </w:rPr>
        <w:t>支出决算为40元，完成追加预算数的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5.科学技术支出(类)基础研究(款)其他基础研究支出年初预算为</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元，追加预算为682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082.05元，支出决算为682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082.05元，完成追加预算数的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6.科学技术支出(类)应用研究(款)机构运行(项)年初预算为92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095.93元，完成年初预算的97.63%，决算数小于年初预算数的主要原因是预算主要为市中医药研究院、市医药科学研究所人员支出、公用支出，年底基本支出完毕。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7.科学技术支出(类)应用研究(款)高技术研究(项)年初预算为0元，支出决算为416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025元，追加预算为416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025元，完成追加预算的100%，决算数等于追加预算数的主要原因是年中追加天津市科技计划项目预算。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8.科学技术支出(类)科技条件与服务(款)机构运行(项)年初预算为15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4000元，完成年初预算的100.41%，决算数大于年初预算数的主要原因是预算主要用于市医学科学技术信息研究所人员支出、公用支出，年中略有追加。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9.科学技术支出(类)科技交流与合作(款)国际交流与合作(项)年初预算为0元，支出决算为124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703.13元，追加预算为124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703.13元，完成追加预算的100%，决算数等于追加预算数的主要原因是年中追加天津市科技计划项目预算。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10.科学技术支出(类)科技交流与合作(款)其他科技交流与合作支出(项)年初预算为0元，支出决算为769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352.85元，追加预算为769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352.85元，完成追加预算的100%，决算数等于追加预算数的主要原因是年中追加天津市科技计划项目预算。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11.科学技术支出(类)其他科学技术支出(款)其他科学技术支出(项)年初预算为0元，支出决算为454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940.77元，追加预算为454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940.77元，完成追加预算的100%，决算数等于追加预算数的主要原因是年中追加天津市科技计划项目预算。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12.社会保障和就业支出(类)行政事业单位养老支出(款)机关事业单位基本养老保险缴费支出(项)年初预算为419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766.49元，完成年初预算的99.95%，决算数小于年初预算数的主要原因是预算主要用于所属行政事业单位养老保险缴费支出，年中略有减少。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13.社会保障和就业支出(类)行政事业单位养老支出(款)机关事业单位职业年金缴费支出(项)年初预算为209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339.16元，完成年初预算的</w:t>
      </w:r>
      <w:r>
        <w:rPr>
          <w:rFonts w:hint="eastAsia" w:ascii="Times New Roman" w:hAnsi="Times New Roman" w:eastAsia="仿宋_GB2312" w:cs="仿宋_GB2312"/>
          <w:sz w:val="30"/>
          <w:szCs w:val="30"/>
          <w:highlight w:val="none"/>
          <w:lang w:val="en-US" w:eastAsia="zh-CN"/>
        </w:rPr>
        <w:t>99.99</w:t>
      </w:r>
      <w:r>
        <w:rPr>
          <w:rFonts w:hint="eastAsia" w:ascii="Times New Roman" w:hAnsi="Times New Roman" w:eastAsia="仿宋_GB2312" w:cs="仿宋_GB2312"/>
          <w:sz w:val="30"/>
          <w:szCs w:val="30"/>
          <w:highlight w:val="none"/>
          <w:lang w:eastAsia="zh-CN"/>
        </w:rPr>
        <w:t>%，决算数略小于年初预算数的主要原因是预算主要用于所属行政事业单位职业年金缴费支出，年中略有减少。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14.社会保障和就业支出(类)其他社会保障和就业支出(款)其他社会保障和就业支出(项)年初预算为0.00元，支出决算为5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406元，追加预算为5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406元，完成追加预算的100%，决算数等于追加预算数的主要原因是年中追加机关事业单位抚恤金和丧葬费等支出。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15.卫生健康支出(类)卫生健康管理事务(款)行政运行(项)年初预算为92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344.59元，完成年初预算的103.86%，决算数大于年初预算数的主要原因是机关人员支出、公用支出等相关支出，年中追加相关预算。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16.卫生健康支出(类)卫生健康管理事务(款)机关服务(项)年初预算为147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17.卫生健康支出(类)卫生健康管理事务(款)其他卫生健康管理事务支出(项)年初预算为62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900元，支出决算为77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707.62元，完成年初预算的124.74%，决算数大于年初预算数的主要原因是年中追加部分卫生健康事业单位卫生健康综合管理与服务支出。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18.卫生健康支出(类)公立医院(款)综合医院(项)年初预算为219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364.02元，完成年初预算的400.82%，决算数大于年初预算数的主要原因是年中追加住院医师规范化培训、临床重点专科建设、紧缺人才培训、公立医院综合改革、优质高效医疗卫生服务体系建设工程等支出。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19.卫生健康支出(类)公立医院(款)中医（民族）医院(项)年初预算为21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400元，支出决算为21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833.46元，完成年初预算的101.89%，决算数大于年初预算数的主要原因是年中追加市中医研究院附属医院、市南开医院人员支出、公用支出和部分项目支出。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20.卫生健康支出(类)公立医院(款)传染病医院(项)年初预算为31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892元，完成年初预算的1</w:t>
      </w:r>
      <w:r>
        <w:rPr>
          <w:rFonts w:hint="eastAsia" w:ascii="Times New Roman" w:hAnsi="Times New Roman" w:eastAsia="仿宋_GB2312" w:cs="仿宋_GB2312"/>
          <w:sz w:val="30"/>
          <w:szCs w:val="30"/>
          <w:highlight w:val="none"/>
          <w:lang w:val="en-US" w:eastAsia="zh-CN"/>
        </w:rPr>
        <w:t>70</w:t>
      </w:r>
      <w:r>
        <w:rPr>
          <w:rFonts w:hint="eastAsia" w:ascii="Times New Roman" w:hAnsi="Times New Roman" w:eastAsia="仿宋_GB2312" w:cs="仿宋_GB2312"/>
          <w:sz w:val="30"/>
          <w:szCs w:val="30"/>
          <w:highlight w:val="none"/>
          <w:lang w:eastAsia="zh-CN"/>
        </w:rPr>
        <w:t>.77%，决算数大于年初预算数的主要原因是年中追加市第二人民医院人员支出、公用支出和部分项目支出。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21.卫生健康支出(类)公立医院(款)职业病防治医院(项)年初预算为58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200元，完成年初预算的108.88%，决算数大于年初预算数的主要原因是年中追加市职业病防治院人员支出、公用支出和部分项目支出。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22.卫生健康支出(类)公立医院(款)精神病医院(项)年初预算为45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600元，支出决算为42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125元，完成年初预算的94.68%，决算数小于年初预算数的主要原因是市安定医院对口帮扶项目资金未完全使用。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23.卫生健康支出(类)公立医院(款)妇幼保健医院(项)年初预算为6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800元，支出决算为7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800元，完成年初预算的104.35%，决算数大于年初预算数的主要原因是年中增加市中心妇产科医院人员支出、公用支出和部分项目支出。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24.卫生健康支出(类)公立医院(款)儿童医院(项)年初预算为12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600元，支出决算为14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491.03元，完成年初预算的118.34%，决算数大于年初预算数的主要原因是年中增加市儿童医院人员支出、公用支出和部分项目支出。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25.卫生健康支出(类)公立医院(款)其他专科医院(项)年初预算为38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800元，支出决算为42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960元，完成年初预算的112.18%，决算数大于年初预算数的主要原因是年中追加市肿瘤医院、市天津医院、市胸科医院、市海河医院、市口腔医院、市眼科医院、市环湖医院等人员支出、公用支出和部分项目支出。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26.卫生健康支出(类)公共卫生(款)疾病预防控制机构(项)年初预算为109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500元，支出决算为116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532.53元，完成年初预算的106.08%，决算数大于年初预算数的主要原因是年中追加市疾病预防控制中心、市结核病控制中心、市卫生健康促进中心等人员支出、公用支出和部分项目支出。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27.卫生健康支出(类)公共卫生(款)卫生监督机构(项)年初预算为2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28.卫生健康支出(类)公共卫生(款)妇幼保健机构(项)年初预算为39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561.25元，完成年初预算的87.9%，决算数小于年初预算数的主要原因是部分项目资金待支出。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29.卫生健康支出(类)公共卫生(款)应急救治机构(项)年初预算为88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800元，完成年初预算的116.83%，决算数大于年初预算数的主要原因是追加市急救中心人员支出、公用支出和部分项目支出。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30.卫生健康支出(类)公共卫生(款)采供血机构(项)年初预算为18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000元，完成年初预算的98.84%，决算数小于年初预算数的主要原因是市血液中心部分项目资金待支出。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31.卫生健康支出(类)公共卫生(款)基本公共卫生服务(项)年初预算为274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100元，支出决算为270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790.19元，完成年初预算的98.81%，决算数小于年初预算数的主要原因是部分承担基本公共卫生服务项目单位项目资金待支出。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32.卫生健康支出(类)公共卫生(款)重大公共卫生服务(项)年初预算为75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440.5元，完成年初预算的184.</w:t>
      </w: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3%，决算数大于年初预算数的主要原因是年中追加各承担重大传染病防控项目单位相关项目支出。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33.卫生健康支出(类)公共卫生(款)突发公共卫生事件应急处理(项)年初预算为58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600元，支出决算为658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242.73元，完成年初预算的1129.81%，决算数大于年初预算数的主要原因是年中财政加大公共卫生事件相关支出投入。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34.卫生健康支出(类)公共卫生(款)其他公共卫生支出(项)年初预算为54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360.31元，完成追加预算的94.8%，决算数小于追加预算数的主要原因是年中卫生健康信息化建设等项目资金待支出。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35.卫生健康支出(类)中医药(款)中医（民族医）药专项(项)年初预算为11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400元，支出决算为12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519.37元，完成年初预算的103.6%，决算数大于年初预算数的主要原因是追加中医药事业传承与发展等预算。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36.卫生健康支出(类)计划生育事务(款)计划生育机构(项)年初预算为10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033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000元，完成年初预算的102.08%，决算数大于年初预算数的主要原因是年中追加市卫生健康委员会综合服务中心人员支出、公用支出和部分项目支出。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37.卫生健康支出(类)计划生育事务(款)计划生育服务(项)年初预算为200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38.卫生健康支出(类)行政事业单位医疗(款)行政单位医疗(项)年初预算为4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215.25元，完成年初预算的105.49%，决算数大于年初预算数的主要原因是年中追加行政及参公单位医疗保险缴费支出。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39.卫生健康支出(类)行政事业单位医疗(款)事业单位医疗(项)年初预算为96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463.27元，完成年初预算的99.93%，决算数小于年初预算数的主要原因是年中调整事业单位医疗保险缴费支出。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40.卫生健康支出(类)行政事业单位医疗(款)公务员医疗补助(项)年初预算为915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711.04元，完成年初预算的95.49%，决算数小于年初预算数的主要原因是年中有调整行政及参公单位医疗补助支出。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41.卫生健康支出(类)行政事业单位医疗(款)其他行政事业单位医疗支出(项)年初预算为38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42.卫生健康支出(类) 老龄卫生健康事务(款)老龄卫生健康事务(项)年初预算为250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000元，支出决算为249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904.5元，完成年初预算的99.96%，决算数与年初预算数基本持平。</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43.卫生健康支出(类)其他卫生健康支出(款)其他卫生健康支出(项)年初预算为7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229.75元，完成年初预算的280.95%，决算数大于追加预算数的主要原因是年中增加卫生健康重点工作、卫生健康综合管理与服务支出。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44.城乡社区支出(类)其他城乡社区支出(款)其他城乡社区支出(项)年初预算为48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45.其他支出(类)其他支出(款)其他支出(项)年初预算为11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000元，完成年初预算的100%，决算数等于年初预算数的主要原因是追加市第一中心医院新址开办建设项目支出。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46.债务付息支出(类)地方政府一般债务付息支出(款)地方政府一般债券付息支出(项)年初预算为14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Times New Roman"/>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1,432,086,152.77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10,801,665.70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w:t>
      </w:r>
      <w:r>
        <w:rPr>
          <w:rFonts w:hint="eastAsia" w:ascii="Times New Roman" w:hAnsi="Times New Roman" w:eastAsia="仿宋_GB2312" w:cs="Times New Roman"/>
          <w:sz w:val="30"/>
          <w:szCs w:val="30"/>
          <w:highlight w:val="none"/>
          <w:lang w:eastAsia="zh-CN"/>
        </w:rPr>
        <w:t>是：厉行节约，落实过紧日子思想，压缩一般性支出。其中：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1,333,608,493.13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助学金、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98,477,659.64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租赁费、会议费、培训费、公务接待费、专用材料费、专用燃料费、劳务费、委托业务费、工会经费、福利费、公务用车运行维护费、其他交通费用、税金及附加费用、其他商品和服务支出、办公设备购置、专用设备购置、信息网络及软件购置更新、其他资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63,320,000.00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63,320,000.00</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56,582,514.00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839.82%</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市第一中心医院专项债券利息。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天津市卫生健康委员会2023年度无国有资本经营预算财政拨款收入、支出和结转结余。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hint="eastAsia" w:ascii="Times New Roman" w:hAnsi="Times New Roman" w:eastAsia="仿宋_GB2312" w:cs="Times New Roman"/>
          <w:kern w:val="0"/>
          <w:sz w:val="30"/>
          <w:szCs w:val="30"/>
          <w:highlight w:val="none"/>
          <w:lang w:val="en-US"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645,000.00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499,214.75</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145,785.25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77.4</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179,647.70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56.22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厉行节约，合理安排三公经费支出，严格按照预算执行，公务用车运行维护费和公务接待费支出都有压缩</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疫情结束，</w:t>
      </w:r>
      <w:r>
        <w:rPr>
          <w:rFonts w:hint="eastAsia" w:ascii="Times New Roman" w:hAnsi="Times New Roman" w:eastAsia="仿宋_GB2312" w:cs="仿宋_GB2312"/>
          <w:sz w:val="30"/>
          <w:szCs w:val="30"/>
          <w:highlight w:val="none"/>
          <w:lang w:val="en-US" w:eastAsia="zh-CN"/>
        </w:rPr>
        <w:t>2023年起</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kern w:val="0"/>
          <w:sz w:val="30"/>
          <w:szCs w:val="30"/>
          <w:highlight w:val="none"/>
          <w:lang w:eastAsia="zh-CN"/>
        </w:rPr>
        <w:t>活动，公务接待以及公务用车运行恢复正常。</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233,000.00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114,510.41</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118,489.59</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49.15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114,510.41</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sz w:val="30"/>
          <w:szCs w:val="30"/>
          <w:highlight w:val="none"/>
          <w:lang w:eastAsia="zh-CN"/>
        </w:rPr>
        <w:t>，严格按照预算执行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疫情结束，</w:t>
      </w:r>
      <w:r>
        <w:rPr>
          <w:rFonts w:hint="eastAsia" w:ascii="Times New Roman" w:hAnsi="Times New Roman" w:eastAsia="仿宋_GB2312" w:cs="仿宋_GB2312"/>
          <w:sz w:val="30"/>
          <w:szCs w:val="30"/>
          <w:highlight w:val="none"/>
          <w:lang w:val="en-US" w:eastAsia="zh-CN"/>
        </w:rPr>
        <w:t>2023年起</w:t>
      </w:r>
      <w:r>
        <w:rPr>
          <w:rFonts w:hint="eastAsia" w:ascii="Times New Roman" w:hAnsi="Times New Roman" w:eastAsia="仿宋_GB2312" w:cs="仿宋_GB2312"/>
          <w:kern w:val="0"/>
          <w:sz w:val="30"/>
          <w:szCs w:val="30"/>
          <w:highlight w:val="none"/>
        </w:rPr>
        <w:t>因公出国（境）</w:t>
      </w:r>
      <w:r>
        <w:rPr>
          <w:rFonts w:hint="eastAsia" w:ascii="Times New Roman" w:hAnsi="Times New Roman" w:eastAsia="仿宋_GB2312" w:cs="仿宋_GB2312"/>
          <w:kern w:val="0"/>
          <w:sz w:val="30"/>
          <w:szCs w:val="30"/>
          <w:highlight w:val="none"/>
          <w:lang w:eastAsia="zh-CN"/>
        </w:rPr>
        <w:t>活动恢复正常。</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331,000.00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324,119.34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6,880.66</w:t>
      </w:r>
      <w:r>
        <w:rPr>
          <w:rFonts w:hint="eastAsia" w:ascii="Times New Roman" w:hAnsi="Times New Roman" w:eastAsia="仿宋_GB2312" w:cs="仿宋_GB2312"/>
          <w:kern w:val="0"/>
          <w:sz w:val="30"/>
          <w:szCs w:val="30"/>
          <w:highlight w:val="none"/>
        </w:rPr>
        <w:t>元，完成预算</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w:t>
      </w:r>
      <w:r>
        <w:rPr>
          <w:rFonts w:hint="eastAsia" w:ascii="Times New Roman" w:hAnsi="Times New Roman" w:eastAsia="仿宋_GB2312" w:cs="仿宋_GB2312"/>
          <w:kern w:val="0"/>
          <w:sz w:val="30"/>
          <w:szCs w:val="30"/>
          <w:highlight w:val="none"/>
          <w:lang w:eastAsia="zh-CN"/>
        </w:rPr>
        <w:t>97.92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35,128.29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合理安排公务用车使用，严格按照预算执行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疫情结束，</w:t>
      </w:r>
      <w:r>
        <w:rPr>
          <w:rFonts w:hint="eastAsia" w:ascii="Times New Roman" w:hAnsi="Times New Roman" w:eastAsia="仿宋_GB2312" w:cs="仿宋_GB2312"/>
          <w:sz w:val="30"/>
          <w:szCs w:val="30"/>
          <w:highlight w:val="none"/>
          <w:lang w:val="en-US" w:eastAsia="zh-CN"/>
        </w:rPr>
        <w:t>2023年起</w:t>
      </w:r>
      <w:r>
        <w:rPr>
          <w:rFonts w:hint="eastAsia" w:ascii="Times New Roman" w:hAnsi="Times New Roman" w:eastAsia="仿宋_GB2312" w:cs="仿宋_GB2312"/>
          <w:kern w:val="0"/>
          <w:sz w:val="30"/>
          <w:szCs w:val="30"/>
          <w:highlight w:val="none"/>
          <w:lang w:eastAsia="zh-CN"/>
        </w:rPr>
        <w:t>公务用车运行恢复正常。</w:t>
      </w:r>
      <w:r>
        <w:rPr>
          <w:rFonts w:hint="eastAsia" w:ascii="Times New Roman" w:hAnsi="Times New Roman" w:eastAsia="仿宋_GB2312" w:cs="仿宋_GB2312"/>
          <w:kern w:val="0"/>
          <w:sz w:val="30"/>
          <w:szCs w:val="30"/>
          <w:highlight w:val="none"/>
        </w:rPr>
        <w:t>其中：</w:t>
      </w:r>
      <w:bookmarkStart w:id="0" w:name="_GoBack"/>
      <w:bookmarkEnd w:id="0"/>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331,000.00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324,119.34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6,880.66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97.92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35,128.29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12.16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预算数的主要原因是：合理安排公务用车使用，严格按照预算执行；决算数较上年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疫情结束，</w:t>
      </w:r>
      <w:r>
        <w:rPr>
          <w:rFonts w:hint="eastAsia" w:ascii="Times New Roman" w:hAnsi="Times New Roman" w:eastAsia="仿宋_GB2312" w:cs="仿宋_GB2312"/>
          <w:sz w:val="30"/>
          <w:szCs w:val="30"/>
          <w:highlight w:val="none"/>
          <w:lang w:val="en-US" w:eastAsia="zh-CN"/>
        </w:rPr>
        <w:t>2023年起</w:t>
      </w:r>
      <w:r>
        <w:rPr>
          <w:rFonts w:hint="eastAsia" w:ascii="Times New Roman" w:hAnsi="Times New Roman" w:eastAsia="仿宋_GB2312" w:cs="仿宋_GB2312"/>
          <w:kern w:val="0"/>
          <w:sz w:val="30"/>
          <w:szCs w:val="30"/>
          <w:highlight w:val="none"/>
          <w:lang w:eastAsia="zh-CN"/>
        </w:rPr>
        <w:t>公务用车运行恢复正常</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31</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81,000.00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60,585.00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20,415.00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30,009.00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98.15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预算数的主要原因是：合理安排公务接待费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lang w:eastAsia="zh-CN"/>
        </w:rPr>
        <w:t>公务接待数量进行合理控制</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恢复正常秩序后，公务接待数量较上年增加。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69</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483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天津市卫生健康委员会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14,078,585.00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488,935.77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3.6</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恢复正常秩序后，公务活动较上年增加。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天津市卫生健康委员会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1,526,394,322.07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726,652,249.28</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46,775,713.13</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752,966,359.66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951,117,239.17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57.92%</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630,023,757.43</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41.28%</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57.36</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38.84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68.55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天津市卫生健康委员会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530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13</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330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180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包括医院用救护车等车辆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1940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根据预算绩效管理要求，天津市卫生健康委员会2023年度已对448个市级项目开展绩效自评，涉及金额1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992.3元，自评结果已随部门决算一并公开；本部门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天津市卫生健康委员会不属于乡、镇、街级单位，不涉及公开2023年度无教育、医疗卫生、社会保障和就业、住房保障、涉农补贴等民生支出情况。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100E8"/>
    <w:rsid w:val="00E7602B"/>
    <w:rsid w:val="00E964B2"/>
    <w:rsid w:val="00EA6549"/>
    <w:rsid w:val="00F007FE"/>
    <w:rsid w:val="017D4A3B"/>
    <w:rsid w:val="01A10E80"/>
    <w:rsid w:val="029D518A"/>
    <w:rsid w:val="03311B3F"/>
    <w:rsid w:val="03901927"/>
    <w:rsid w:val="04910D1F"/>
    <w:rsid w:val="05CA273A"/>
    <w:rsid w:val="05E55C53"/>
    <w:rsid w:val="069A035E"/>
    <w:rsid w:val="07267E44"/>
    <w:rsid w:val="07425D24"/>
    <w:rsid w:val="07A23238"/>
    <w:rsid w:val="085D1644"/>
    <w:rsid w:val="0A46259F"/>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D3325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9F6F43"/>
    <w:rsid w:val="2D5A0475"/>
    <w:rsid w:val="2DA05507"/>
    <w:rsid w:val="2E150147"/>
    <w:rsid w:val="2E487134"/>
    <w:rsid w:val="2E8C3709"/>
    <w:rsid w:val="2F146650"/>
    <w:rsid w:val="2FA13000"/>
    <w:rsid w:val="2FC74096"/>
    <w:rsid w:val="2FF951BC"/>
    <w:rsid w:val="307A24E3"/>
    <w:rsid w:val="307A6987"/>
    <w:rsid w:val="309B16DD"/>
    <w:rsid w:val="30BB5227"/>
    <w:rsid w:val="313F372D"/>
    <w:rsid w:val="31D420C7"/>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682515"/>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440A0A"/>
    <w:rsid w:val="52A37398"/>
    <w:rsid w:val="53C102A5"/>
    <w:rsid w:val="54380029"/>
    <w:rsid w:val="54A61249"/>
    <w:rsid w:val="54F16968"/>
    <w:rsid w:val="55AC416B"/>
    <w:rsid w:val="564C0516"/>
    <w:rsid w:val="5713248B"/>
    <w:rsid w:val="573C5E95"/>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71090F"/>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ADB139D"/>
    <w:rsid w:val="7B143565"/>
    <w:rsid w:val="7CA51C63"/>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18</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2024-08-09T07:00:20Z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4E0AB021240F47B4A97944D33B706BFA_13</vt:lpwstr>
  </property>
</Properties>
</file>