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天津市统计局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天津市统计局为市政府直属机构，负责全市经济社会发展统计和国民经济核算工作，主要职责是：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贯彻执行国家有关统计的法律、法规、规章，研究起草有关地方性法规、政府规章草案，并组织实施。拟订全市统计事业发展规划和政策。组织领导和协调全市统计工作，确保统计数据真实、准确、完整、及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2.负责贯彻执行国民经济核算体系，组织实施全市及各区国民经济核算制度和全市投入产出调查，核算全市及各区地区生产总值，汇编提供国民经济核算资料，监督管理各区国民经济核算工作。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3.会同有关部门拟订本市重大国情国力普查计划、方案，组织实施全市人口、经济、农业等重大国情国力普查，汇总、整理和提供有关国情国力方面的统计数据。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4.组织实施全市国民经济各行业的统计调查，收集、汇总、整理和提供有关调查的统计数据。综合整理和提供地质勘查、旅游、教育、卫生、社会保障、公用事业等全市性基本统计数据。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组织实施能源、投资、消费、科技、人口、社会发展基本情况、环境基本状况等统计调查，收集、汇总、整理和提供有关调查的统计数据。综合整理和提供资源、房屋、对外贸易、对外经济等全市性基本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.组织各区、各部门的经济、社会、科技和资源环境统计调查。统一核定、管理、公布全市性基本统计资料。定期发布全市国民经济和社会发展情况的统计信息。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7.对国民经济、社会发展、科技进步和资源环境等情况进行统计分析、统计预测和统计监督，向市委、市政府及有关部门提供统计信息和咨询建议。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组织实施国家统计标准，制定和修订地方统计标准。依法审批市级各部门、各区统计调查项目。指导专业统计基础工作、统计基层业务基础建设，建立服务业统计信息管理制度，建立健全统计数据质量审核、监控和评估制度，开展对重要统计数据的审核、监控和评估，依法监督管理涉外调查活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9.协助各区管理区统计局局长和副局长，指导全市统计专业技术队伍建设，会同有关部门组织管理全市统计专业资格考试、职称评审工作，监督管理市政府统计部门下拨给区政府统计部门的中央统计业务费。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10.建立并管理全市统计信息自动化系统和统计数据库系统，组织制定各区、各部门统计数据库和网络的基本标准和运行规则，指导区统计信息化系统建设。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11.承办市委、市政府部署的各类考核内容相关的统计工作。负责与各省、自治区、直辖市及相关城市、区域间的统计资料交换工作。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12.承办市委、市政府和国家统计局交办的其他事项。</w:t>
      </w:r>
    </w:p>
    <w:p>
      <w:pPr>
        <w:keepNext/>
        <w:keepLines/>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天津市统计局内设20个职能处室；下辖3个预算单位。纳入天津市统计局2023年度部门决算编制范围的单位包括：</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1.天津市统计局本级</w:t>
      </w:r>
    </w:p>
    <w:p>
      <w:pPr>
        <w:pageBreakBefore w:val="0"/>
        <w:widowControl w:val="0"/>
        <w:kinsoku/>
        <w:wordWrap/>
        <w:overflowPunct/>
        <w:topLinePunct w:val="0"/>
        <w:autoSpaceDE w:val="0"/>
        <w:autoSpaceDN w:val="0"/>
        <w:bidi w:val="0"/>
        <w:adjustRightInd w:val="0"/>
        <w:snapToGrid/>
        <w:spacing w:line="600" w:lineRule="exact"/>
        <w:ind w:left="896" w:leftChars="284" w:hanging="300" w:hangingChars="1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.（原）天津市统计执法检查大队</w:t>
      </w:r>
    </w:p>
    <w:p>
      <w:pPr>
        <w:pageBreakBefore w:val="0"/>
        <w:widowControl w:val="0"/>
        <w:kinsoku/>
        <w:wordWrap/>
        <w:overflowPunct/>
        <w:topLinePunct w:val="0"/>
        <w:autoSpaceDE w:val="0"/>
        <w:autoSpaceDN w:val="0"/>
        <w:bidi w:val="0"/>
        <w:adjustRightInd w:val="0"/>
        <w:snapToGrid/>
        <w:spacing w:line="600" w:lineRule="exact"/>
        <w:ind w:left="896" w:leftChars="284" w:hanging="300" w:hangingChars="1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.天津市统计局社情民意调查中心</w:t>
      </w:r>
    </w:p>
    <w:p>
      <w:pPr>
        <w:pageBreakBefore w:val="0"/>
        <w:widowControl w:val="0"/>
        <w:kinsoku/>
        <w:wordWrap/>
        <w:overflowPunct/>
        <w:topLinePunct w:val="0"/>
        <w:autoSpaceDE w:val="0"/>
        <w:autoSpaceDN w:val="0"/>
        <w:bidi w:val="0"/>
        <w:adjustRightInd w:val="0"/>
        <w:snapToGrid/>
        <w:spacing w:line="600" w:lineRule="exact"/>
        <w:ind w:left="896" w:leftChars="284" w:hanging="300" w:hangingChars="1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.天津市统计局普查中心</w:t>
      </w:r>
    </w:p>
    <w:p>
      <w:pPr>
        <w:pageBreakBefore w:val="0"/>
        <w:widowControl w:val="0"/>
        <w:kinsoku/>
        <w:wordWrap/>
        <w:overflowPunct/>
        <w:topLinePunct w:val="0"/>
        <w:bidi w:val="0"/>
        <w:snapToGrid/>
        <w:ind w:firstLine="600" w:firstLineChars="200"/>
        <w:jc w:val="both"/>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bookmarkStart w:id="0" w:name="_GoBack"/>
      <w:bookmarkEnd w:id="0"/>
    </w:p>
    <w:p>
      <w:pPr>
        <w:keepNext/>
        <w:keepLines/>
        <w:pageBreakBefore w:val="0"/>
        <w:widowControl w:val="0"/>
        <w:kinsoku/>
        <w:wordWrap/>
        <w:overflowPunct/>
        <w:topLinePunct w:val="0"/>
        <w:autoSpaceDE w:val="0"/>
        <w:autoSpaceDN w:val="0"/>
        <w:bidi w:val="0"/>
        <w:adjustRightInd w:val="0"/>
        <w:snapToGrid/>
        <w:spacing w:line="600" w:lineRule="exact"/>
        <w:ind w:firstLine="880" w:firstLineChars="200"/>
        <w:jc w:val="both"/>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ascii="Times New Roman" w:hAnsi="Times New Roman" w:eastAsia="方正小标宋简体" w:cs="Times New Roman"/>
          <w:kern w:val="0"/>
          <w:sz w:val="24"/>
          <w:szCs w:val="24"/>
          <w:highlight w:val="none"/>
        </w:rPr>
      </w:pP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1.天津市统计局2023年度政府性基金预算财政拨款收入支出决算表为空表。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2.天津市统计局2023年度国有资本经营预算财政拨款收入支出决算表为空表。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p>
    <w:p>
      <w:pPr>
        <w:keepNext/>
        <w:keepLines/>
        <w:pageBreakBefore w:val="0"/>
        <w:widowControl w:val="0"/>
        <w:kinsoku/>
        <w:wordWrap/>
        <w:overflowPunct/>
        <w:topLinePunct w:val="0"/>
        <w:autoSpaceDE w:val="0"/>
        <w:autoSpaceDN w:val="0"/>
        <w:bidi w:val="0"/>
        <w:adjustRightInd w:val="0"/>
        <w:snapToGrid/>
        <w:spacing w:line="600" w:lineRule="exact"/>
        <w:ind w:firstLine="880" w:firstLineChars="200"/>
        <w:jc w:val="both"/>
        <w:textAlignment w:val="auto"/>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天津市统计局2023年度收入、支出决算总计</w:t>
      </w:r>
      <w:r>
        <w:rPr>
          <w:rFonts w:hint="eastAsia" w:ascii="Times New Roman" w:hAnsi="Times New Roman" w:eastAsia="仿宋_GB2312" w:cs="仿宋_GB2312"/>
          <w:sz w:val="30"/>
          <w:szCs w:val="30"/>
          <w:highlight w:val="none"/>
          <w:lang w:eastAsia="zh-CN"/>
        </w:rPr>
        <w:t>99,577,347.42元，与2022年度相比，收、支总计各增加15,860,122.98元，增长18.94%，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：2023年为第五次全国经济普查工作开展年，新增的经济普查项目经费导致我部门2023年项目经费总额大幅增加。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92,498,456.58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增加14,884,570.56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2023年为第五次全国经济普查工作开展年，新增的经济普查项目经费导致我部门2023年项目经费财政拨款收入总额大幅增加。</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87,447,656.12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94.54</w:t>
      </w:r>
      <w:r>
        <w:rPr>
          <w:rFonts w:hint="eastAsia" w:ascii="Times New Roman" w:hAnsi="Times New Roman" w:eastAsia="宋体" w:cs="Times New Roman"/>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4,834,049.35元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5.23%；</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216,751.11元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0.23%</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91,804,169.08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15,165,835.48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2023年为第五次全国经济普查工作开展年，新增的经济普查项目经费导致我部门2023年项目经费财政拨款支出总额大幅增加。</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70,616,705.36元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76.92</w:t>
      </w:r>
      <w:r>
        <w:rPr>
          <w:rFonts w:hint="eastAsia" w:ascii="Times New Roman" w:hAnsi="Times New Roman" w:eastAsia="仿宋_GB2312" w:cs="仿宋_GB2312"/>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21,187,463.72元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占23.08%。</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87,447,656.12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13,968,492.69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19.01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2023年为第五次全国经济普查工作开展年，新增的经济普查项目经费导致我部门2023年项目经费总额大幅增加。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计87,447,656.12元，占本年支出合计的95.25%，与2022年度相比，一般公共预算财政拨款支出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13,968,492.69元，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19.01%，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：2023年为第五次全国经济普查工作开展年，新增的经济普查项目经费导致我部门2023年项目经费财政拨款支出总额大幅增加。</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87,447,656.12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一般公共服务支出77,058,752.92元，占88.12%；社会保障和就业支出6,851,917.40元，占7.84%；卫生健康支出3,536,985.80元，占4.04%。</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71,829,000.00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87,447,656.12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121.74%</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xml:space="preserve">1.一般公共服务支出(类)统计信息事务(款)行政运行(项)年初预算为55,114,000.00元，支出决算为55,581,239.68元，完成年初预算的100.85%，决算数大于年初预算数的主要原因是人员经费支出调整。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2.一般公共服务支出(类)统计信息事务(款)专项统计业务(项)年初预算为2,770,000.00元，支出决算为6,178,164.55元，完成年初预算的223.04%，决算数大于年初预算数的主要原因是新增统计督察核查项目。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 一般公共服务支出(类)统计信息事务(款)统计管理(项)年初预算为0元，支出决算为65,000.00元，决算数大于年初预算数的主要原因是预算调整新增项目。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4.一般公共服务支出(类)统计信息事务(款)专项普查活动(项)年初预算为0元，支出决算为10,048,108.69元，决算数大于年初预算数的主要原因是预算调整新增项目。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 一般公共服务支出(类)统计信息事务(款)统计抽样调查(项)年初预算为0元，支出决算为160,000.00元，决算数大于年初预算数的主要原因是预算调整新增项目。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6.一般公共服务支出(类)统计信息事务(款)事业运行(项)年初预算为3,186,000.00元，支出决算为3,228,000.00元，完成年初预算的101.32%，决算数大于年初预算数的主要原因是预算执行中追加财政拨款人员经费。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7.一般公共服务支出(类)统计信息事务(款)其他统计信息事务支出(项)年初预0元，支出决算为1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240.00元，决算数大于年初预算数的主要原因是预算调整新增项目。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社会保障和就业支出(类)行政事业单位养老支出(款)机关事业单位基本养老保险缴费支出(项)年初预算为4,704,000.00元，支出决算为4,568,020.12元，完成年初预算97.11%，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社会保障和就业支出(类)行政事业单位养老支出(款)机关事业单位职业年金缴费支出(项)年初预算为2,351,000.00元，支出决算为2,283,897.28元，完成年初预算的97.15%，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10.卫生健康支出(类)行政事业单位医疗(款)行政单位医疗(项)年初预算为2,936,000.00元，支出决算为2,824,761.48元，完成年初预算的96.21%，决算数小于年初预算数的主要原因是人员、薪资、社保等增减变动。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11.卫生健康支出(类)行政事业单位医疗(款)事业单位医疗(项)年初预算为151,000.00元，支出决算为151,000.00元，完成年初预算的100%，决算数等于年初预算数。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12.卫生健康支出(类)行政事业单位医疗(款)公务员医疗补助(项)年初预算为560,000.00元，支出决算为542,224.32元，完成年初预算的96.83%，决算数小于年初预算数的主要原因是人员、薪资、社保等增减变动。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卫生健康支出(类)行政事业单位医疗(款)其他行政事业单位医疗支出(项)年初预算为57,000.00元，支出决算为19,000.00元，完成年初预算的33.33%，决算数小于年初预算数的主要原因下辖事业单位为公益一类事业单位，财政拨款中的3.8万元退休医疗补助我单位无法使用。</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69,198,142.88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3,181,562.45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人员、薪资、社保等增减变动。</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60,944,626.58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对个人和家庭的补助、离休费、退休费。</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8,253,516.30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维修(护)费、租赁费、公务接待费、劳务费、委托业务费、工会经费、福利费、公务用车运行维护费、其他交通费用、税金及附加费用、其他商品和服务支出、办公设备购置、信息网络及软件购置更新。</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天津市统计局2023年度无政府性基金预算财政拨款收入、支出和结转结余。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44,561.00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99.02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4,561.00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节约公务接待经费支出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疫情结束，相关业务开展，公务接待支出增加。</w:t>
      </w:r>
    </w:p>
    <w:p>
      <w:pPr>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使用，严格按照预算执行。</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4,561.00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91.22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4,561.00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节约公务接待经费支出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疫情结束，相关业务开展，公务接待支出增加。</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天津市统计局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7,824,516.30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153,518.30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办公大楼使用年限渐长，各项维修维护经费增加，租赁费，电费、燃气等费用价格增加，疫情结束，差旅支出增加。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天津市统计局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16,890,742.70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2,260,195.50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14,630,547.20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9,844,126.70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58.28%</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9,844,126.70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58.28%</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98.78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52.03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天津市统计局2023年度无国有资产占有使用情况。</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根据预算绩效管理要求，天津市统计局2023年度已对1</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个市级项目开展绩效自评，涉及金额</w:t>
      </w:r>
      <w:r>
        <w:rPr>
          <w:rFonts w:hint="eastAsia" w:ascii="Times New Roman" w:hAnsi="Times New Roman" w:eastAsia="仿宋_GB2312" w:cs="仿宋_GB2312"/>
          <w:sz w:val="30"/>
          <w:szCs w:val="30"/>
          <w:highlight w:val="none"/>
          <w:lang w:val="en-US" w:eastAsia="zh-CN"/>
        </w:rPr>
        <w:t>21,131,362.00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天津市统计局不属于乡、镇、街级单位，不涉及公开2023年度教育、医疗卫生、社会保障和就业、住房保障、涉农补贴等民生支出情况。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p>
    <w:p>
      <w:pPr>
        <w:pageBreakBefore w:val="0"/>
        <w:widowControl w:val="0"/>
        <w:kinsoku/>
        <w:wordWrap/>
        <w:overflowPunct/>
        <w:topLinePunct w:val="0"/>
        <w:autoSpaceDE w:val="0"/>
        <w:autoSpaceDN w:val="0"/>
        <w:bidi w:val="0"/>
        <w:adjustRightInd w:val="0"/>
        <w:snapToGrid/>
        <w:ind w:firstLine="602" w:firstLineChars="200"/>
        <w:jc w:val="both"/>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673D38"/>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807F0B"/>
    <w:rsid w:val="63B80927"/>
    <w:rsid w:val="643C1F0A"/>
    <w:rsid w:val="644D16E1"/>
    <w:rsid w:val="64925346"/>
    <w:rsid w:val="654D2EBE"/>
    <w:rsid w:val="654E5711"/>
    <w:rsid w:val="656942F9"/>
    <w:rsid w:val="65B558C0"/>
    <w:rsid w:val="660E106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4B006F"/>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2024-08-27T09:48:50Z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823E1EFF39A8473B83FAA69DB458E063_13</vt:lpwstr>
  </property>
</Properties>
</file>