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天津市审计局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黑体" w:cs="黑体"/>
          <w:sz w:val="30"/>
          <w:szCs w:val="30"/>
          <w:highlight w:val="none"/>
          <w:lang w:val="zh-CN"/>
        </w:rPr>
        <w:br w:type="page"/>
      </w: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r>
        <w:rPr>
          <w:rFonts w:hint="eastAsia" w:ascii="Times New Roman" w:hAnsi="Times New Roman" w:eastAsia="方正小标宋简体" w:cs="方正小标宋简体"/>
          <w:kern w:val="44"/>
          <w:sz w:val="44"/>
          <w:szCs w:val="44"/>
          <w:highlight w:val="none"/>
        </w:rPr>
        <w:br w:type="textWrapping"/>
      </w:r>
      <w:r>
        <w:rPr>
          <w:rFonts w:hint="eastAsia" w:ascii="Times New Roman" w:hAnsi="Times New Roman" w:eastAsia="黑体" w:cs="黑体"/>
          <w:kern w:val="0"/>
          <w:sz w:val="30"/>
          <w:szCs w:val="30"/>
          <w:highlight w:val="none"/>
        </w:rPr>
        <w:t>一、主要职责</w:t>
      </w:r>
      <w:r>
        <w:rPr>
          <w:rFonts w:hint="eastAsia" w:ascii="Times New Roman" w:hAnsi="Times New Roman" w:eastAsia="黑体" w:cs="黑体"/>
          <w:b/>
          <w:bCs/>
          <w:kern w:val="0"/>
          <w:sz w:val="30"/>
          <w:szCs w:val="30"/>
          <w:highlight w:val="none"/>
        </w:rPr>
        <w:br w:type="textWrapping"/>
      </w:r>
      <w:r>
        <w:rPr>
          <w:rFonts w:hint="eastAsia" w:ascii="Times New Roman" w:hAnsi="Times New Roman" w:eastAsia="仿宋_GB2312" w:cs="仿宋_GB2312"/>
          <w:kern w:val="0"/>
          <w:sz w:val="30"/>
          <w:szCs w:val="30"/>
          <w:highlight w:val="none"/>
          <w:lang w:eastAsia="zh-CN"/>
        </w:rPr>
        <w:t>（一）主管全市审计工作。负责对本市财政收支和法律法规规定属于审计监督范围的财务收支的真实、合法和效益进行审计监督，对公共资金、国有资产、国有资源和领导干部履行经济责任情况实行审计全覆盖，对领导干部实行自然资源资产离任审计，对国家和本市有关重大政策措施贯彻落实情况进行跟踪审计。对审计、专项审计调查和核查社会审计机构相关审计报告的结果承担责任，并负有督促被审计单位落实整改的责任。</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二）贯彻执行国家有关审计工作的法律、法规和方针、政策，研究起草有关地方性法规、规章草案，拟定审计政策，审计工作发展规划和专业领域审计工作规划，制定年度审计计划，并组织实施。对直接审计、调查和核查的事项依法进行审计评价，做出审计决定或提出审计建议。</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三）向市政府和审计署提出年度市级预算执行和其他财政收支情况的审计结果报告。受市政府委托向市人大常委会提出市级预算执行和其他财政收支情况的审计工作报告、审计查出问题整改情况报告。向市委、市政府和审计署报告对其他事项的审计和专项审计调查情况及结果。依法向社会公布审计结果。向市委和市政府有关部门、区级党委和政府通报审计情况和审计结果。</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四）直接审计下列事项，出具审计报告，在法定职权范围内做出审计决定，包括国家和本市有关重大政策措施贯彻落实情况；市级预算执行情况和其他财政收支，市委、市政府各部门（含直属单位）预算执行情况、决算草案和其他财政收支；区级政府预算的执行情况、决算草案和其他财政收支，市级财政转移支付资金；使用市级财政资金的事业单位和社会团体的财务收支；市级投资和以市级投资为主的建设项目的预算执行情况和决算；自然资源管理、污染防治和生态保护与修复情况；市属国有企业、金融机构以及国有资本占控股或主导地位的企业和金融机构的资产、负债和损益，市政府驻外非经营性机构的财务收支；有关社会保障基金、社会捐赠资金及其他有关基金、资金的财务收支；根据审计署授权，审计国际组织和外国政府援助、贷款项目的财务收支；法律、法规规定的其他事项。</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（五）按规定对市管党政主要领导干部和其他单位主要负责人实施经济责任审计和自然资源资产离任审计。</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（六）组织实施对有关财经法律、法规、规章、政策和宏观调控措施执行情况、财政预算管理或国有资产管理使用等与本市财政收支有关的特定事项进行专项审计调查。</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（七）依法检查审计决定执行情况，督促纠正和处理审计发现的问题，依法办理被审计单位对审计决定提请行政复议、行政诉讼或市政府裁决中的有关事项。协助配合有关部门查处相关重大案件。
（八）指导和监督内部审计工作，核查社会审计机构对依法属于审计监督对象的单位出具的相关审计报告。</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九）与区级党委和政府共同领导区级审计机关。依法领导和监督区级审计机关的业务，组织区级审计机关实施特定项目的专项审计或审计调查，纠正或责成纠正区级审计机关违反国家规定做出的审计决定。按照干部管理权限协管区级审计机关负责人。</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（十）组织开展审计领域的国际交流与合作，指导和推广信息技术在审计领域的应用，组织建设审计信息系统，开展电子数据审计。</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（十一）负责局机关、直属单位人才队伍建设。</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（十二）承办市委、市政府交办的其他事项。</w:t>
      </w:r>
    </w:p>
    <w:p>
      <w:pPr>
        <w:autoSpaceDE w:val="0"/>
        <w:autoSpaceDN w:val="0"/>
        <w:adjustRightInd w:val="0"/>
        <w:spacing w:line="700" w:lineRule="exact"/>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十三）职能转变。进一步完善审计管理体制，加强全市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作，充分调动内部审计和社会审计力量，增强监督合力。</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天津市审计局</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36</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1</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天津市审计局2023</w:t>
      </w:r>
      <w:r>
        <w:rPr>
          <w:rFonts w:hint="eastAsia" w:ascii="Times New Roman" w:hAnsi="Times New Roman" w:eastAsia="仿宋_GB2312" w:cs="仿宋_GB2312"/>
          <w:kern w:val="0"/>
          <w:sz w:val="30"/>
          <w:szCs w:val="30"/>
          <w:highlight w:val="none"/>
        </w:rPr>
        <w:t>年度部门决算编制范围的单位包括：</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天津市审计局（本级）</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天津市审计科研所
</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1.天津市审计局2023年度政府性基金预算财政拨款收入支出决算表为空表。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2.天津市审计局2023年度国有资本经营预算财政拨款收入支出决算表为空表。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天津市审计局</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181,699,207.63</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增加9,884,409.15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增长5.75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增加审计工作经费收入支出。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天津市审计局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177,707,988.68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增加9,982,599.13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增加审计工作经费收入。</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176,064,151.82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99.07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1,643,836.86元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0.93%</w:t>
      </w:r>
      <w:r>
        <w:rPr>
          <w:rFonts w:hint="eastAsia" w:ascii="Times New Roman" w:hAnsi="Times New Roman" w:eastAsia="仿宋_GB2312" w:cs="仿宋_GB2312"/>
          <w:sz w:val="30"/>
          <w:szCs w:val="30"/>
          <w:highlight w:val="none"/>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天津市审计局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179,191,138.06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11,521,701.76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增加审计工作经费支出。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141,646,414.74元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79.05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37,544,723.32元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占20.95%。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天津市审计局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176,978,011.51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9,061,487.79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增加审计工作经费收入支出。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天津市审计局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176,871,375.95</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98.71</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9,868,711.92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5.91</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增加审计工作经费支出。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176,871,375.95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095.65元，占88.56%；社会保障和就业支出13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260.98元，占7.53%；卫生健康支出6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019.32元，占3.91%。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146,222,000.00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176,871,375.95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120.96%</w:t>
      </w:r>
      <w:r>
        <w:rPr>
          <w:rFonts w:hint="eastAsia" w:ascii="Times New Roman" w:hAnsi="Times New Roman" w:eastAsia="仿宋_GB2312" w:cs="仿宋_GB2312"/>
          <w:kern w:val="0"/>
          <w:sz w:val="30"/>
          <w:szCs w:val="30"/>
          <w:highlight w:val="none"/>
        </w:rPr>
        <w:t>。其中：</w:t>
      </w:r>
    </w:p>
    <w:p>
      <w:pPr>
        <w:numPr>
          <w:ilvl w:val="0"/>
          <w:numId w:val="2"/>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一般公共服务支出（类）审计事务（款）行政运行（项）年初预算为109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455.52元，完成年初预算的107.54%，决算数大于年初预算数的主要原因是年中追加人员经费。</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一般公共服务支出（类）审计事务（款）一般行政管理事务（项）年初预算为4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500.00元，完成年初预算的97.40%，决算数与年初预算数基本持平。</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一般公共服务支出（类）审计事务（款）审计业务（项）年初预算为6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000.00元，年末支出决算为25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263.26元，完成年初预算的</w:t>
      </w:r>
      <w:r>
        <w:rPr>
          <w:rFonts w:hint="eastAsia" w:ascii="Times New Roman" w:hAnsi="Times New Roman" w:eastAsia="仿宋_GB2312" w:cs="仿宋_GB2312"/>
          <w:sz w:val="30"/>
          <w:szCs w:val="30"/>
          <w:highlight w:val="none"/>
          <w:lang w:val="en-US" w:eastAsia="zh-CN"/>
        </w:rPr>
        <w:t>386.22</w:t>
      </w:r>
      <w:r>
        <w:rPr>
          <w:rFonts w:hint="eastAsia" w:ascii="Times New Roman" w:hAnsi="Times New Roman" w:eastAsia="仿宋_GB2312" w:cs="仿宋_GB2312"/>
          <w:sz w:val="30"/>
          <w:szCs w:val="30"/>
          <w:highlight w:val="none"/>
          <w:lang w:eastAsia="zh-CN"/>
        </w:rPr>
        <w:t>%，决算数大于年初预算数的主要原因是追加审计工作经费以及按规定使用了以前年度结转资金。</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一般公共服务支出（类）审计事务（款）审计管理（项）年初预算为350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046.26元，完成年初预算的99.44%，决算数与年初预算数基本持平 。</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一般公共服务支出（类）审计事务（款）信息化建设（项）年初预算为2,300,000.00元，支出决算为5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039.75元，完成年初预算的215.19%，决算数大于年初预算数的主要原因是追加金审工程（三期）项目经费。</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一般公共服务支出（类）审计事务（款）事业运行（项）年初预算为2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880.86元，完成年初预算的94.14%，决算数小于年初预算数的主要原因是所属事业单位人员减少核减人员经费。</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一般公共服务支出（类）审计事务（款）其他审计事务支出（项）年初预算为0.00元，追加预算为1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910.00元，完成追加预算的100%。决算数等于追加预算数的主要原因是追加退休去世人员抚恤金经费。</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058.82，完成年初预算的98.20%，决算数与年初预算数基本持平。</w:t>
      </w:r>
    </w:p>
    <w:p>
      <w:pPr>
        <w:numPr>
          <w:ilvl w:val="0"/>
          <w:numId w:val="2"/>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202.16元，完成年初预算的98.54%，决算数与年初预算数基本持平。</w:t>
      </w:r>
    </w:p>
    <w:p>
      <w:pPr>
        <w:numPr>
          <w:ilvl w:val="0"/>
          <w:numId w:val="2"/>
        </w:numPr>
        <w:autoSpaceDE w:val="0"/>
        <w:autoSpaceDN w:val="0"/>
        <w:adjustRightInd w:val="0"/>
        <w:spacing w:line="600" w:lineRule="exact"/>
        <w:ind w:left="0" w:leftChars="0" w:firstLine="720" w:firstLine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卫生健康支出（类）行政事业单位医疗（款）行政单位医疗（项）年初预算为5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468.78元，完成年初预算的97.89%。决算数与年初预算数基本持平。</w:t>
      </w:r>
    </w:p>
    <w:p>
      <w:pPr>
        <w:numPr>
          <w:ilvl w:val="0"/>
          <w:numId w:val="2"/>
        </w:numPr>
        <w:autoSpaceDE w:val="0"/>
        <w:autoSpaceDN w:val="0"/>
        <w:adjustRightInd w:val="0"/>
        <w:spacing w:line="600" w:lineRule="exact"/>
        <w:ind w:left="0" w:leftChars="0" w:firstLine="720" w:firstLine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000.00元，完成年初预算的80.31%，决算数小于年初预算数的主要原因是所属事业单位人员减少核减人员经费。</w:t>
      </w:r>
    </w:p>
    <w:p>
      <w:pPr>
        <w:numPr>
          <w:ilvl w:val="0"/>
          <w:numId w:val="2"/>
        </w:numPr>
        <w:autoSpaceDE w:val="0"/>
        <w:autoSpaceDN w:val="0"/>
        <w:adjustRightInd w:val="0"/>
        <w:spacing w:line="600" w:lineRule="exact"/>
        <w:ind w:left="0" w:leftChars="0" w:firstLine="720" w:firstLine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卫生健康支出（类）行政事业单位医疗（款）公务员医疗补助（项）年初预算为1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550.54元，完成年初预算的98.69%，决算数与年初预算数基本持平。</w:t>
      </w:r>
    </w:p>
    <w:p>
      <w:pPr>
        <w:numPr>
          <w:ilvl w:val="0"/>
          <w:numId w:val="2"/>
        </w:numPr>
        <w:autoSpaceDE w:val="0"/>
        <w:autoSpaceDN w:val="0"/>
        <w:adjustRightInd w:val="0"/>
        <w:spacing w:line="600" w:lineRule="exact"/>
        <w:ind w:left="0" w:leftChars="0" w:firstLine="720" w:firstLine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000.00元，完成年初预算的93.18%，决算数小于年初预算数的主要原因是所属事业单位人员减少核减人员经费。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天津市审计局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141,191,367.68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6,757,992.05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工资结构改革调整社会保险基数。</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125,710,708.26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退休费、生活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15,480,659.42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维修(护)费、租赁费、会议费、培训费、公务接待费、劳务费、委托业务费、工会经费、福利费、公务用车运行维护费、其他交通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天津市审计局2023年度无政府性基金预算财政拨款收入、支出和结转结余。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天津市审计局2023年度无国有资本经营预算财政拨款收入、支出和结转结余。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41,105.69</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38,894.31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51.38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9,757.47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31.13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认真贯彻落实中央八项规定及其实施细则精神和厉行节约要求，从严控制“三公”经费开支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疫情政策调整后，公务用车运行维护费和公务接待费呈恢复性增长。</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的主要原因是本年度未用财政拨款经费列支因公出国（境）费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60,000.00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34,925.69</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25,074.31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58.21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4,297.47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认真贯彻落实中央八项规定及其实施细则精神和厉行节约要求， 从严控制公务用车运行维护费开支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疫情政策调整后，公务用车运行维护费呈恢复性增长。</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60,000.00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34,925.69</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25,074.31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58.21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4,297.47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14.03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认真贯彻落实中央八项规定及其实施细则精神和厉行节约要求，从严控制公务用车运行维护费开支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疫情政策调整后，公务用车运行维护费呈恢复性增长。</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的主要原因是本年度未用财政拨款经费列支公务用车购置费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2</w:t>
      </w:r>
      <w:r>
        <w:rPr>
          <w:rFonts w:ascii="Times New Roman" w:hAnsi="Times New Roman" w:eastAsia="仿宋_GB2312" w:cs="仿宋_GB2312"/>
          <w:kern w:val="0"/>
          <w:sz w:val="30"/>
          <w:szCs w:val="30"/>
          <w:highlight w:val="none"/>
        </w:rPr>
        <w:t>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6,180.00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13,820.00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5,460.00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758.33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认真贯彻落实中央八项规定及其实施细则精神和厉行节约要求，从严控制公务接待费开支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疫情政策调整后，公务接待费呈恢复性增长。</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41</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天津市审计局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15,142,659.42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78,217.80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0.52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与上年基本持平。</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天津市审计局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14,705,215.03</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659,988.00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14,045,227.03</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14,065,215.03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95.65%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12,535,215.03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85.24%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95.44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天津市审计局</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天津市审计局2023年度已对16个市级项目开展绩效自评，涉及金额37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210元，自评结果已随部门决算一并公开。本部门2023年度未开展部门评价。</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天津市审计局不属于乡、镇、街级单位，不涉及公开2023年度教育、医疗卫生、社会保障和就业、住房保障、涉农补贴等民生支出情况。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E3A62"/>
    <w:multiLevelType w:val="singleLevel"/>
    <w:tmpl w:val="3D4E3A62"/>
    <w:lvl w:ilvl="0" w:tentative="0">
      <w:start w:val="1"/>
      <w:numFmt w:val="decimal"/>
      <w:suff w:val="space"/>
      <w:lvlText w:val="%1."/>
      <w:lvlJc w:val="left"/>
    </w:lvl>
  </w:abstractNum>
  <w:abstractNum w:abstractNumId="1">
    <w:nsid w:val="5835BBCD"/>
    <w:multiLevelType w:val="singleLevel"/>
    <w:tmpl w:val="5835BBC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952122"/>
    <w:rsid w:val="095F6B2F"/>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BB40DC"/>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994942"/>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1365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2024-08-26T09:41:41Z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5BF08AF24D60480289B83668897CFC03_13</vt:lpwstr>
  </property>
</Properties>
</file>