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天津市通信管理局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225" w:beforeAutospacing="0" w:after="0" w:afterAutospacing="0" w:line="600" w:lineRule="exact"/>
        <w:ind w:firstLine="482"/>
        <w:textAlignment w:val="baseline"/>
        <w:rPr>
          <w:rFonts w:hint="eastAsia" w:ascii="Calibri" w:hAnsi="Calibri" w:eastAsia="仿宋_GB2312" w:cs="Times New Roman"/>
          <w:kern w:val="0"/>
          <w:sz w:val="30"/>
          <w:szCs w:val="30"/>
          <w:lang w:val="en-US" w:eastAsia="zh-CN" w:bidi="ar-SA"/>
        </w:rPr>
      </w:pPr>
      <w:r>
        <w:rPr>
          <w:rFonts w:hint="eastAsia" w:ascii="Calibri" w:hAnsi="Calibri" w:eastAsia="仿宋_GB2312" w:cs="Times New Roman"/>
          <w:kern w:val="0"/>
          <w:sz w:val="30"/>
          <w:szCs w:val="30"/>
          <w:lang w:val="en-US" w:eastAsia="zh-CN" w:bidi="ar-SA"/>
        </w:rPr>
        <w:t>天津市通信管理局为工业和信息化部派驻天津市的通信管理部门，实行垂直管理。</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225" w:beforeAutospacing="0" w:after="0" w:afterAutospacing="0" w:line="600" w:lineRule="exact"/>
        <w:ind w:firstLine="482"/>
        <w:textAlignment w:val="baseline"/>
        <w:rPr>
          <w:rFonts w:hint="eastAsia" w:ascii="Calibri" w:hAnsi="Calibri" w:eastAsia="仿宋_GB2312" w:cs="Times New Roman"/>
          <w:kern w:val="0"/>
          <w:sz w:val="30"/>
          <w:szCs w:val="30"/>
          <w:lang w:val="en-US" w:eastAsia="zh-CN" w:bidi="ar-SA"/>
        </w:rPr>
      </w:pPr>
      <w:r>
        <w:rPr>
          <w:rFonts w:hint="eastAsia" w:ascii="Calibri" w:hAnsi="Calibri" w:eastAsia="仿宋_GB2312" w:cs="Times New Roman"/>
          <w:kern w:val="0"/>
          <w:sz w:val="30"/>
          <w:szCs w:val="30"/>
          <w:lang w:val="en-US" w:eastAsia="zh-CN" w:bidi="ar-SA"/>
        </w:rPr>
        <w:t>（一）贯彻执行通信行业管理政策法规，统筹规划天津市公用通信网、互联网、专用通信网并实行行业管理；监测分析天津市通信业运行态势并发布引导信息，协调解决行业运行发展中的有关问题；承担推动实施天津市“三网融合”的有关工作。</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0" w:beforeAutospacing="0" w:after="0" w:afterAutospacing="0" w:line="600" w:lineRule="exact"/>
        <w:ind w:firstLine="482"/>
        <w:jc w:val="both"/>
        <w:textAlignment w:val="baseline"/>
        <w:rPr>
          <w:rFonts w:hint="eastAsia" w:ascii="Calibri" w:hAnsi="Calibri" w:eastAsia="仿宋_GB2312" w:cs="Times New Roman"/>
          <w:kern w:val="0"/>
          <w:sz w:val="30"/>
          <w:szCs w:val="30"/>
          <w:lang w:val="en-US" w:eastAsia="zh-CN" w:bidi="ar-SA"/>
        </w:rPr>
      </w:pPr>
      <w:r>
        <w:rPr>
          <w:rFonts w:hint="eastAsia" w:ascii="Calibri" w:hAnsi="Calibri" w:eastAsia="仿宋_GB2312" w:cs="Times New Roman"/>
          <w:kern w:val="0"/>
          <w:sz w:val="30"/>
          <w:szCs w:val="30"/>
          <w:lang w:val="en-US" w:eastAsia="zh-CN" w:bidi="ar-SA"/>
        </w:rPr>
        <w:t>（二）协调天津市公用通信网、互联网、专用通信网的建设，促进资源共享；受工业和信息化部委托，负责天津市重要通信设施建设管理；监督管理天津市通信建设市场；指导天津市通信业加强安全生产管理工作。</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0" w:beforeAutospacing="0" w:after="0" w:afterAutospacing="0" w:line="600" w:lineRule="exact"/>
        <w:ind w:firstLine="482"/>
        <w:jc w:val="both"/>
        <w:textAlignment w:val="baseline"/>
        <w:rPr>
          <w:rFonts w:hint="eastAsia" w:ascii="Calibri" w:hAnsi="Calibri" w:eastAsia="仿宋_GB2312" w:cs="Times New Roman"/>
          <w:kern w:val="0"/>
          <w:sz w:val="30"/>
          <w:szCs w:val="30"/>
          <w:lang w:val="en-US" w:eastAsia="zh-CN" w:bidi="ar-SA"/>
        </w:rPr>
      </w:pPr>
      <w:r>
        <w:rPr>
          <w:rFonts w:hint="eastAsia" w:ascii="Calibri" w:hAnsi="Calibri" w:eastAsia="仿宋_GB2312" w:cs="Times New Roman"/>
          <w:kern w:val="0"/>
          <w:sz w:val="30"/>
          <w:szCs w:val="30"/>
          <w:lang w:val="en-US" w:eastAsia="zh-CN" w:bidi="ar-SA"/>
        </w:rPr>
        <w:t>（三）依法监督管理天津市电信与信息服务市场；会同有关部门监督管理电信服务资费和质量；保障普遍服务，推动行业自律；根据授权负责天津市通信网码号、互联网域名和地址等资源的管理；监管天津市公用通信网、互联网、专用通信网互联互通和公平接入。</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0" w:beforeAutospacing="0" w:after="0" w:afterAutospacing="0" w:line="600" w:lineRule="exact"/>
        <w:ind w:firstLine="482"/>
        <w:jc w:val="both"/>
        <w:textAlignment w:val="baseline"/>
        <w:rPr>
          <w:rFonts w:hint="eastAsia" w:ascii="Calibri" w:hAnsi="Calibri" w:eastAsia="仿宋_GB2312" w:cs="Times New Roman"/>
          <w:kern w:val="0"/>
          <w:sz w:val="30"/>
          <w:szCs w:val="30"/>
          <w:lang w:val="en-US" w:eastAsia="zh-CN" w:bidi="ar-SA"/>
        </w:rPr>
      </w:pPr>
      <w:r>
        <w:rPr>
          <w:rFonts w:hint="eastAsia" w:ascii="Calibri" w:hAnsi="Calibri" w:eastAsia="仿宋_GB2312" w:cs="Times New Roman"/>
          <w:kern w:val="0"/>
          <w:sz w:val="30"/>
          <w:szCs w:val="30"/>
          <w:lang w:val="en-US" w:eastAsia="zh-CN" w:bidi="ar-SA"/>
        </w:rPr>
        <w:t>（四）组织协调天津市应急通信及其它重要通信保障工作；按分工承担天津市国防通信信息动员和战备通信相关工作。</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0" w:beforeAutospacing="0" w:after="0" w:afterAutospacing="0" w:line="600" w:lineRule="exact"/>
        <w:ind w:firstLine="482"/>
        <w:jc w:val="both"/>
        <w:textAlignment w:val="baseline"/>
        <w:rPr>
          <w:rFonts w:hint="eastAsia" w:ascii="Calibri" w:hAnsi="Calibri" w:eastAsia="仿宋_GB2312" w:cs="Times New Roman"/>
          <w:kern w:val="0"/>
          <w:sz w:val="30"/>
          <w:szCs w:val="30"/>
          <w:lang w:val="en-US" w:eastAsia="zh-CN" w:bidi="ar-SA"/>
        </w:rPr>
      </w:pPr>
      <w:r>
        <w:rPr>
          <w:rFonts w:hint="eastAsia" w:ascii="Calibri" w:hAnsi="Calibri" w:eastAsia="仿宋_GB2312" w:cs="Times New Roman"/>
          <w:kern w:val="0"/>
          <w:sz w:val="30"/>
          <w:szCs w:val="30"/>
          <w:lang w:val="en-US" w:eastAsia="zh-CN" w:bidi="ar-SA"/>
        </w:rPr>
        <w:t>（五）协调管理天津市公用通信网、互联网、专用通信网网络信息安全平台；监管天津市网络运行安全；拟订天津市电信网络安全防护政策并组织实施；负责天津市网络安全应急管理和处置；受工业和信息化部委托，配合开展天津市特殊通信、网络环境和信息治理有关工作，配合处理网络有害信息；拟定天津市通信管制措施并组织实施。</w:t>
      </w:r>
    </w:p>
    <w:p>
      <w:pPr>
        <w:pStyle w:val="7"/>
        <w:keepNext w:val="0"/>
        <w:keepLines w:val="0"/>
        <w:pageBreakBefore w:val="0"/>
        <w:widowControl/>
        <w:shd w:val="clear" w:color="auto" w:fill="FFFFFF"/>
        <w:kinsoku/>
        <w:wordWrap w:val="0"/>
        <w:overflowPunct/>
        <w:topLinePunct w:val="0"/>
        <w:autoSpaceDE/>
        <w:autoSpaceDN/>
        <w:bidi w:val="0"/>
        <w:adjustRightInd w:val="0"/>
        <w:snapToGrid/>
        <w:spacing w:before="0" w:beforeAutospacing="0" w:after="0" w:afterAutospacing="0" w:line="600" w:lineRule="exact"/>
        <w:ind w:firstLine="482"/>
        <w:jc w:val="both"/>
        <w:textAlignment w:val="baseline"/>
        <w:rPr>
          <w:rFonts w:hint="eastAsia"/>
          <w:color w:val="333333"/>
        </w:rPr>
      </w:pPr>
      <w:r>
        <w:rPr>
          <w:rFonts w:hint="eastAsia" w:ascii="Calibri" w:hAnsi="Calibri" w:eastAsia="仿宋_GB2312" w:cs="Times New Roman"/>
          <w:kern w:val="0"/>
          <w:sz w:val="30"/>
          <w:szCs w:val="30"/>
          <w:lang w:val="en-US" w:eastAsia="zh-CN" w:bidi="ar-SA"/>
        </w:rPr>
        <w:t>（六）承办工业和信息化部及中共天津市委、天津市人民政府交办的其他事项。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天津市通信管理局内设5个职能处室；下辖2个预算单位。纳入天津市通信管理局2023年度部门决算编制范围的单位包括：</w:t>
      </w:r>
    </w:p>
    <w:p>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1.天津市通信管理局本级（纳入天津市本级预算部分）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2.天津市通信安全中心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3.天津通信行业职业技能鉴定中心 </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1.天津市通信管理局2023年度政府性基金预算财政拨款收入支出决算表为空表。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2.天津市通信管理局2023年度国有资本经营预算财政拨款收入支出决算表为空表。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3.天津市通信管理局2023年度一般公共预算财政拨款“三公”经费支出决算表为空表。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天津市通信管理局</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2,488,763.36</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减少758,477.51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下降23.36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本年度无上年结转结余支出。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2,488,763.36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增加110,443.27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val="en-US" w:eastAsia="zh-CN"/>
        </w:rPr>
        <w:t>2023年编制内增人等因素</w:t>
      </w:r>
      <w:r>
        <w:rPr>
          <w:rFonts w:hint="eastAsia" w:ascii="Times New Roman" w:hAnsi="Times New Roman" w:eastAsia="仿宋_GB2312" w:cs="仿宋_GB2312"/>
          <w:kern w:val="0"/>
          <w:sz w:val="30"/>
          <w:szCs w:val="30"/>
          <w:highlight w:val="none"/>
          <w:lang w:eastAsia="zh-CN"/>
        </w:rPr>
        <w:t>。</w:t>
      </w:r>
      <w:bookmarkStart w:id="0" w:name="_GoBack"/>
      <w:bookmarkEnd w:id="0"/>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1,980,000.00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79.56</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507,029.70元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20.37%；</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1,733.66元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0.07%</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2,488,763.36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758,477.51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2023年度无上年结转结余支出。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2,408,763.36元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96.79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80,000.00元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占3.21%。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天津市通信管理局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1,980,000.00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eastAsia="zh-CN"/>
        </w:rPr>
        <w:t>增加59,800.00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3.11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2023年编制内增人等因素导致。</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计1,980,000.00元，占本年支出合计的79.56%，与2022年度相比，一般公共预算财政拨款支出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59,800.00元，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3.11%，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：2023年编制内增人等因素导致。</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1,980,000.00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社会保障和就业支出（类）支出189,000.00元，占9.55%，卫生健康支出（类）支出94,000.00元，占4.75%，资源勘探工业信息等支出（类）支出1,697,000.00元，占85.70%。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1,933,000.00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1,980,000.00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102.43%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社会保障和就业支出（类）行政事业单位养老支出（款）机关事业单位基本养老保险缴费支出（项）年初预算为118,000.00元，支出决算为126,000.00元，完成年初预算的106.78%，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社会保障和就业支出（类）行政事业单位养老支出（款）机关事业单位职业年金缴费支出（项）年初预算为59,000.00元，支出决算为63,000.00元，完成年初预算的106.78%，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3. 卫生健康支出（类）行政事业单位医疗（款）事业单位医疗（项）年初预算为78,000.00元，支出决算为84,000.00元，完成年初预算的107.69%，决算数大于年初预算数的主要原因是人员增加。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 卫生健康支出（类）行政事业单位医疗（款）其他行政事业单位医疗支出（项）年初预算为10,000.00元，支出决算为10,000.00元，完成年初预算的100%，决算数与年初预算数持平。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5</w:t>
      </w:r>
      <w:r>
        <w:rPr>
          <w:rFonts w:hint="eastAsia" w:ascii="Times New Roman" w:hAnsi="Times New Roman" w:eastAsia="仿宋_GB2312" w:cs="仿宋_GB2312"/>
          <w:sz w:val="30"/>
          <w:szCs w:val="30"/>
          <w:highlight w:val="none"/>
          <w:lang w:eastAsia="zh-CN"/>
        </w:rPr>
        <w:t>.资源勘探工业信息等支出（类）工业和信息产业监管（款）其他工业和信息产业监管支出（项）年初预算为1,668,000.00元，支出决算为1,697,000.00元，完成年初预算的101.74%，决算数大于年初预算数的主要原因人员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天津市通信管理局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1,900,000.00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59,800.00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2023年编制内增人因素导致。</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1,676,000.00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基本工资、津贴补贴、绩效工资、机关事业单位基本养老保险缴费、职业年金缴费、职工基本医疗保险缴费、其他社会保障缴费、住房公积金、医疗费。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224,000.00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办公费、咨询费、手续费、水费、电费、邮电费、取暖费、物业管理费、劳务费、委托业务费、工会经费、福利费、其他交通费用、税金及附加费用、其他商品和服务支出。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天津市通信管理局2023年度无政府性基金预算财政拨款收入、支出和结转结余。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val="en-US" w:eastAsia="zh-CN"/>
        </w:rPr>
        <w:t>天津市通信管理局2023年度无政府采购支出。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天津市通信管理局2023年度无国有资产占有使用情况。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天津市通信管理局2023年度已对1个市级项目开展绩效自评，涉及金额80,000.00元，自评结果已随部门决算一并公开。本部门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天津市通信管理局不属于乡、镇、街级单位，不涉及公开2023年度教育、医疗卫生、社会保障和就业、住房保障、涉农补贴等民生支出情况。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2B3C80"/>
    <w:rsid w:val="0A7D5D1A"/>
    <w:rsid w:val="0AF018E5"/>
    <w:rsid w:val="0B1428B6"/>
    <w:rsid w:val="0B2716A6"/>
    <w:rsid w:val="0B2E72C7"/>
    <w:rsid w:val="0C2265F6"/>
    <w:rsid w:val="0C411F0C"/>
    <w:rsid w:val="0CDD71F7"/>
    <w:rsid w:val="0D664210"/>
    <w:rsid w:val="0D6E0841"/>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8B68E4"/>
    <w:rsid w:val="23736675"/>
    <w:rsid w:val="24B227A0"/>
    <w:rsid w:val="25BA7C7E"/>
    <w:rsid w:val="2666570F"/>
    <w:rsid w:val="26DB4B05"/>
    <w:rsid w:val="271B299E"/>
    <w:rsid w:val="279C2CD8"/>
    <w:rsid w:val="27DD7C53"/>
    <w:rsid w:val="284E3F62"/>
    <w:rsid w:val="28612632"/>
    <w:rsid w:val="2A924D25"/>
    <w:rsid w:val="2BC20F83"/>
    <w:rsid w:val="2C800474"/>
    <w:rsid w:val="2C8F0671"/>
    <w:rsid w:val="2D5A0475"/>
    <w:rsid w:val="2DA05507"/>
    <w:rsid w:val="2E487134"/>
    <w:rsid w:val="2E8C3709"/>
    <w:rsid w:val="2EA66FF1"/>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79B641F"/>
    <w:rsid w:val="381E22EE"/>
    <w:rsid w:val="3AF76503"/>
    <w:rsid w:val="3B0209DD"/>
    <w:rsid w:val="3B0C198B"/>
    <w:rsid w:val="3B483C6E"/>
    <w:rsid w:val="3B776F10"/>
    <w:rsid w:val="3B7C7A57"/>
    <w:rsid w:val="3B8E1539"/>
    <w:rsid w:val="3BA445E5"/>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6F2939"/>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0DD598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53FB1"/>
    <w:rsid w:val="708C6A78"/>
    <w:rsid w:val="70E84C6C"/>
    <w:rsid w:val="70FE35D3"/>
    <w:rsid w:val="71600CA6"/>
    <w:rsid w:val="7260119C"/>
    <w:rsid w:val="72701CEB"/>
    <w:rsid w:val="72B3615B"/>
    <w:rsid w:val="73724CC1"/>
    <w:rsid w:val="7455465F"/>
    <w:rsid w:val="74F257BC"/>
    <w:rsid w:val="75AB44BA"/>
    <w:rsid w:val="76903852"/>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标题 1 字符"/>
    <w:basedOn w:val="9"/>
    <w:link w:val="2"/>
    <w:qFormat/>
    <w:uiPriority w:val="99"/>
    <w:rPr>
      <w:rFonts w:ascii="方正小标宋简体" w:eastAsia="方正小标宋简体"/>
      <w:kern w:val="0"/>
      <w:sz w:val="24"/>
      <w:szCs w:val="24"/>
    </w:rPr>
  </w:style>
  <w:style w:type="character" w:customStyle="1" w:styleId="11">
    <w:name w:val="标题 2 字符"/>
    <w:basedOn w:val="9"/>
    <w:link w:val="3"/>
    <w:qFormat/>
    <w:uiPriority w:val="99"/>
    <w:rPr>
      <w:rFonts w:ascii="方正小标宋简体" w:eastAsia="方正小标宋简体"/>
      <w:kern w:val="0"/>
      <w:sz w:val="24"/>
      <w:szCs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14</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2024-08-23T06:38:58Z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F1950B27DC954C87BCE9AA4D773B291E_13</vt:lpwstr>
  </property>
</Properties>
</file>