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天津市民族和宗教事务委员会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 xml:space="preserve"> 概 况</w:t>
      </w:r>
    </w:p>
    <w:p>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贯彻落实党和国家有关民族、宗教事务工作的法律、法规和方针、政策、决策部署，研究起草有关地方性法规、政府规章草案，并组织实施和监督检查；研究提出协调民族关系的工作建议，协调处理民族关系中的重大事项，保障少数民族合法权益，维护民族团结和社会稳定。负责推进城市民族工作，协助相关部门做好少数民族流动人口服务管理工作；会同有关部门制定少数民族经济发展规划，研究提出加快城乡少数民族经济发展的政策和措施。协同有关部门推动民族企业、民族乡村经济发展。依法推进对生产、经营清真食品的市场管理。配合有关部门落实国家对少数民族特需商品定点生产企业的扶持政策；负责组织指导民族、宗教政策和法律法规的宣传教育工作，承办市政府民族团结进步表彰活动；协助有关部门做好少数民族干部的培养、教育和使用工作。组织宗教工作队伍和有关人员的培训工作。联系少数民族代表和宗教界人士；研究拟订宗教工作的政策措施并督促落实。依法履行宗教事务管理职责，依法保护公民宗教信仰自由和正常的宗教活动，依法管理宗教教职人员，维护宗教界合法权益，促进宗教关系和谐，引导各宗教坚持中国化方向。办理宗教团体需由政府解决或协调的有关事宜；依法规范宗教活动，防范利用宗教进行非法、违法活动，抵御境外利用宗教进行的渗透活动。组织协调网络宗教事务管理，规范网络宗教信息服务；组织开展民族宗教理论、民族宗教政策和民族宗教工作情况的调查研究，分析民族、宗教现状，掌握动态，提出政策性建议和意见；会同有关部门处理民族、宗教方面涉外事务。指导民族、宗教界开展对外及对港澳台的友好交往活动。会同有关部门审核涉及有关民族政策、民族人物和风俗习惯、宗教政策、宗教人物、宗教场所的影视作品、书刊和广告。管理少数民族语言文字工作，指导少数民族语言文字的翻译、出版和民族古籍的搜集、整理、出版工作；负责协调推动有关部门履行民族宗教工作相关职责，对各部门、各区民族宗教工作进行业务指导。会同有关部门研究拟订少数民族事业等专项规划，并组织实施和监督检查；负责本系统人才队伍建设；为我市民族宗教领域招商引资工作做好服务保障；承担我市民族宗教领域安全生产的管理和监督工作；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天津市民族和宗教事务委员会内设9个职能处室；下辖</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rPr>
        <w:t>个预算单位。纳入天津市民族和宗教事务委员会2023年度部门决算编制范围的单位包括：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1.天津市民族和宗教事务委员会本级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2.天津中华基督教青年会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3.天津基督教女青年会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4.天津市佛教工作秘书处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5.天津市伊斯兰教工作秘书处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6.天津市天主教工作秘书处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7.天津市基督教工作秘书处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8.天津市民族文化宫</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天津市民族和宗教事务委员会2023年度国有资本经营预算财政拨款收入支出决算表为空表。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pageBreakBefore w:val="0"/>
        <w:widowControl w:val="0"/>
        <w:kinsoku/>
        <w:wordWrap/>
        <w:overflowPunct/>
        <w:topLinePunct w:val="0"/>
        <w:autoSpaceDE w:val="0"/>
        <w:autoSpaceDN w:val="0"/>
        <w:bidi w:val="0"/>
        <w:adjustRightInd w:val="0"/>
        <w:snapToGrid/>
        <w:spacing w:line="600" w:lineRule="exact"/>
        <w:ind w:firstLine="600"/>
        <w:jc w:val="both"/>
        <w:textAlignment w:val="auto"/>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天津市民族和宗教事务委员会2023年度收入、支出决算总计</w:t>
      </w:r>
      <w:r>
        <w:rPr>
          <w:rFonts w:hint="eastAsia" w:ascii="Times New Roman" w:hAnsi="Times New Roman" w:eastAsia="仿宋_GB2312" w:cs="仿宋_GB2312"/>
          <w:sz w:val="30"/>
          <w:szCs w:val="30"/>
        </w:rPr>
        <w:t>53,708,226.13元，与2022年度相比，收、支总计各减少1,414,719.65元，下降2.57%，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：民族贸易和民族特需商品生产贷款贴息收、支减少。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天津市民族和宗教事务委员会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53,167,460.09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年度相比减少889,441.58元，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：民族贸易和民族特需商品生产贷款贴息收入减少。</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50,002,563.74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94.05</w:t>
      </w:r>
      <w:r>
        <w:rPr>
          <w:rFonts w:hint="eastAsia" w:ascii="Times New Roman" w:hAnsi="Times New Roman" w:eastAsia="宋体" w:cs="Times New Roman"/>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300,000.00元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0.56%；</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2,808,163.57元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5.28%；</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56,732.78元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0.11%。</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天津市民族和宗教事务委员会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年度本年支出合计53,152,322.13元，与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年度相比减少1,375,333.10元，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民族贸易和民族特需商品生产贷款贴息支出减少。</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35,895,162.02元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占67.53%；</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14,489,341.29元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占27.26%；</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2,767,818.82元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占5.21%。</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天津市民族和宗教事务委员会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50,304,624.26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年度相比，财政拨款收、支总计各减少2,618,034.89元，下降4.95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民族贸易和民族特需商品生产贷款贴息收、支减少。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天津市民族和宗教事务委员会2023年度部门决算一般公共预算财政拨款支出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计49,925,863.56元，占本年支出合计的93.93%，与2022年度相比，一般公共预算财政拨款支出减少2,640,988.24元，下降5.02%，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：民族贸易和民族特需商品生产贷款贴息支出减少。</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49,925,863.56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一般公共服务支出34,300,928.64元，占68.71%；文化旅游体育与传媒支出4,365,802.28元，占8.74%；社会保障和就业支出3,570,316.74元，占7.15%；卫生健康支出2,127,549.13元，占4.26%；商业服务业等支出5,561,266.77元，占11.14%。</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43,188,000.00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49,925,863.56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115.60%</w:t>
      </w:r>
      <w:r>
        <w:rPr>
          <w:rFonts w:hint="eastAsia" w:ascii="Times New Roman" w:hAnsi="Times New Roman" w:eastAsia="仿宋_GB2312" w:cs="仿宋_GB2312"/>
          <w:kern w:val="0"/>
          <w:sz w:val="30"/>
          <w:szCs w:val="30"/>
        </w:rPr>
        <w:t>。其中：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 一般公共服务支出（类）民族事务（款）行政运行（项）年初预算为19,025,000.00元，支出决算为19,847,156.21元，完成年初预算的104.32%，决算数大于年初预算数的主要原因是执行中追加人员经费。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2.一般公共服务支出（类）民族事务（款）一般行政管理事务（项）年初预算为2,522,000.00元，支出决算为2,805,904.00元，完成年初预算的111.26%，决算数大于年初预算数的主要原因是追加去世离休人员抚恤金经费。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3.一般公共服务支出（类）民族事务（款）民族工作专项（项）年初预算为2,509,000.00元，支出决算为2,471,352.28元，完成年初预算的98.50%，决算数小于年初预算数的主要原因严控支出，节约部分项目经费。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统战事务（款）行政运行（项）年初预算为2,240,000.00元，支出决算为2,162,938.00元，完成年初预算的96.56%，决算数小于年初预算数的主要原因是事业单位财政供养人员退休，人员经费同步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5.一般公共服务支出（类）统战事务（款）宗教事务（项）年初预算为3,389,000.00元，支出决算为3,350,818.24元，完成年初预算的98.87%，决算数小于年初预算数的主要原因是严控支出，节约部分项目经费。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一般公共服务支出（类）统战事务（款）事业运行（项）年初预算为3,666,000.00元，支出决算为3,662,759.91元，完成年初预算的99.91%，决算数小于年初预算数的主要原因是事业单位财政供养人员退休，人员经费、公用经费同步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文化旅游体育与传媒支出（类）文化和旅游（款）群众文化（项）年初预算为4,372,000.00元，支出决算为4,365,802.28元，完成年初预算的99.86%，决算数小于年初预算数的主要原因事业单位财政供养人员退休，人员经费、公用经费同步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社会保障和就业支出（类）行政事业单位养老支出（款）机关事业单位基本养老保险缴费支出（项）年初预算为2,427,000.00元，支出决算为2,380,572.90元，完成年初预算的98.09%，决算数小于年初预算数的主要原因是财政供养人员增减变动，机关事业单位基本养老保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社会保障和就业支出（类）行政事业单位养老支出（款）机关事业单位职业年金缴费支出（项）年初预算为1,214,000.00元，支出决算为1,189,743.84元，完成年初预算的98.00%，决算数小于年初预算数的主要原因是财政供养人员增减变动，机关事业单位职业年金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10.卫生健康支出（类）行政事业单位医疗（款）行政单位医疗（项）年初预算为1,152,000.00元，支出决算为1,475,276.45元，完成年初预算的128.06%，决算数大于年初预算数的主要原因是追加离休干部医药费。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卫生健康支出（类）行政事业单位医疗（款）事业单位医疗（项）年初预算为343,000.00元，支出决算为329,931.33元，完成年初预算的96.19%，决算数小于年初预算数的主要原因是事业单位财政供养人员退休，事业单位医疗同步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卫生健康支出（类）行政事业单位医疗（款）公务员医疗补助（项）年初预算为216,000.00元，支出决算为207,705.18元，完成年初预算的96.16%，决算数小于年初预算数的主要原因是财政供养人员增减变动，公务员医疗补助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卫生健康支出（类）行政事业单位医疗（款）其他行政事业单位医疗支出（项）年初预算为113,000.00元，支出决算为114,636.17元，完成年初预算的101.45%，决算数大于年初预算数的主要原因是事业单位财政供养人员增减变动，其他行政事业单位医疗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14.商业服务业等支出（类）商业流通事务（款）民贸民品贷款贴息（项）年初预算为0.00元，追加预算5,561,266.77元，支出决算为5,561,266.77元，决算数等于</w:t>
      </w:r>
      <w:r>
        <w:rPr>
          <w:rFonts w:ascii="Times New Roman" w:hAnsi="Times New Roman" w:eastAsia="仿宋_GB2312" w:cs="仿宋_GB2312"/>
          <w:sz w:val="30"/>
          <w:szCs w:val="30"/>
        </w:rPr>
        <w:t>追加</w:t>
      </w:r>
      <w:r>
        <w:rPr>
          <w:rFonts w:hint="eastAsia" w:ascii="Times New Roman" w:hAnsi="Times New Roman" w:eastAsia="仿宋_GB2312" w:cs="仿宋_GB2312"/>
          <w:sz w:val="30"/>
          <w:szCs w:val="30"/>
        </w:rPr>
        <w:t>预算数的主要原因是追加民贸民品贷款贴息经费。</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天津市民族和宗教事务委员会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35,736,522.27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年度相比增加1,106,398.11元，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财政供养人员</w:t>
      </w:r>
      <w:r>
        <w:rPr>
          <w:rFonts w:hint="eastAsia" w:ascii="Times New Roman" w:hAnsi="Times New Roman" w:eastAsia="仿宋_GB2312" w:cs="仿宋_GB2312"/>
          <w:sz w:val="30"/>
          <w:szCs w:val="30"/>
          <w:lang w:eastAsia="zh-CN"/>
        </w:rPr>
        <w:t>增加</w:t>
      </w:r>
      <w:r>
        <w:rPr>
          <w:rFonts w:hint="eastAsia" w:ascii="Times New Roman" w:hAnsi="Times New Roman" w:eastAsia="仿宋_GB2312" w:cs="仿宋_GB2312"/>
          <w:sz w:val="30"/>
          <w:szCs w:val="30"/>
        </w:rPr>
        <w:t>、人员经费、公用经费支出同步</w:t>
      </w:r>
      <w:r>
        <w:rPr>
          <w:rFonts w:hint="eastAsia" w:ascii="Times New Roman" w:hAnsi="Times New Roman" w:eastAsia="仿宋_GB2312" w:cs="仿宋_GB2312"/>
          <w:sz w:val="30"/>
          <w:szCs w:val="30"/>
          <w:lang w:eastAsia="zh-CN"/>
        </w:rPr>
        <w:t>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32,213,793.46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3,522,728.81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租赁费、会议费、培训费、公务接待费、劳务费、工会经费、福利费、公务用车运行维护费、其他交通费用、税金及附加费用、其他商品和服务支出、办公设备购置。</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天津市民族和宗教事务委员会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300,000.00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300,000.00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年度相比，政府性基金财政拨款支出持平，</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严格按照预算执行支出。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天津市民族和宗教事务委员会2023年度无国有资本经营预算财政拨款收入、支出和结转结余。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56,030.28</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7,969.72</w:t>
      </w:r>
      <w:r>
        <w:rPr>
          <w:rFonts w:hint="eastAsia" w:ascii="Times New Roman" w:hAnsi="Times New Roman" w:eastAsia="仿宋_GB2312" w:cs="仿宋_GB2312"/>
          <w:kern w:val="0"/>
          <w:sz w:val="30"/>
          <w:szCs w:val="30"/>
        </w:rPr>
        <w:t>元，完成预算的87.55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3,732.92元，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6.25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落实过紧日子要求，严控“三公”经费支出。</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54,170.28</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5,829.72</w:t>
      </w:r>
      <w:r>
        <w:rPr>
          <w:rFonts w:hint="eastAsia" w:ascii="Times New Roman" w:hAnsi="Times New Roman" w:eastAsia="仿宋_GB2312" w:cs="仿宋_GB2312"/>
          <w:kern w:val="0"/>
          <w:sz w:val="30"/>
          <w:szCs w:val="30"/>
        </w:rPr>
        <w:t>元，完成预算的90.28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5,592.92元，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9.36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54,170.28</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5,829.72</w:t>
      </w:r>
      <w:r>
        <w:rPr>
          <w:rFonts w:hint="eastAsia" w:ascii="Times New Roman" w:hAnsi="Times New Roman" w:eastAsia="仿宋_GB2312" w:cs="仿宋_GB2312"/>
          <w:kern w:val="0"/>
          <w:sz w:val="30"/>
          <w:szCs w:val="30"/>
        </w:rPr>
        <w:t>元，完成预算的90.28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5,592.92元，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9.36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辆。</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1,860.00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2,140.00</w:t>
      </w:r>
      <w:r>
        <w:rPr>
          <w:rFonts w:hint="eastAsia" w:ascii="Times New Roman" w:hAnsi="Times New Roman" w:eastAsia="仿宋_GB2312" w:cs="仿宋_GB2312"/>
          <w:kern w:val="0"/>
          <w:sz w:val="30"/>
          <w:szCs w:val="30"/>
        </w:rPr>
        <w:t>元，完成预算的46.5</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1,860.00元，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严控公务接待事项，合理安排公务</w:t>
      </w:r>
      <w:r>
        <w:rPr>
          <w:rFonts w:hint="eastAsia" w:ascii="Times New Roman" w:hAnsi="Times New Roman" w:eastAsia="仿宋_GB2312" w:cs="仿宋_GB2312"/>
          <w:sz w:val="30"/>
          <w:szCs w:val="30"/>
          <w:lang w:eastAsia="zh-CN"/>
        </w:rPr>
        <w:t>接待费支出</w:t>
      </w:r>
      <w:r>
        <w:rPr>
          <w:rFonts w:hint="eastAsia" w:ascii="Times New Roman" w:hAnsi="Times New Roman" w:eastAsia="仿宋_GB2312" w:cs="仿宋_GB2312"/>
          <w:sz w:val="30"/>
          <w:szCs w:val="30"/>
        </w:rPr>
        <w:t>，减少公务接待支出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接待的批次、人次均增加。</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26</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天津市民族和宗教事务委员会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2,705,925.00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年增加4,209.94元，增长0.16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财政供养人员增加，机关运行经费支出增加。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天津市民族和宗教事务委员会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1,298,221.00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40,873.00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1,257,348.00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1,286,224.00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99.08%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1,286,224.00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99.08%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70.65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日，天津市民族和宗教事务委员会共有车辆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事业单位业务用车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根据预算绩效管理要求，天津市民族和宗教事务委员会2023年度已对18个市级项目开展绩效自评，涉及金额14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341.</w:t>
      </w:r>
      <w:r>
        <w:rPr>
          <w:rFonts w:hint="eastAsia" w:ascii="Times New Roman" w:hAnsi="Times New Roman" w:eastAsia="仿宋_GB2312" w:cs="仿宋_GB2312"/>
          <w:sz w:val="30"/>
          <w:szCs w:val="30"/>
          <w:lang w:val="en-US" w:eastAsia="zh-CN"/>
        </w:rPr>
        <w:t>29</w:t>
      </w:r>
      <w:bookmarkStart w:id="0" w:name="_GoBack"/>
      <w:bookmarkEnd w:id="0"/>
      <w:r>
        <w:rPr>
          <w:rFonts w:hint="eastAsia" w:ascii="Times New Roman" w:hAnsi="Times New Roman" w:eastAsia="仿宋_GB2312" w:cs="仿宋_GB2312"/>
          <w:sz w:val="30"/>
          <w:szCs w:val="30"/>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天津市民族和宗教事务委员会不属于乡、镇、街级单位，不涉及公开2023年度教育、医疗卫生、社会保障和就业、住房保障、涉农补贴等民生支出情况。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jc w:val="both"/>
        <w:textAlignment w:val="auto"/>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2EB60"/>
    <w:multiLevelType w:val="singleLevel"/>
    <w:tmpl w:val="D162EB6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16C42"/>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00915"/>
    <w:rsid w:val="007733BD"/>
    <w:rsid w:val="00776FF3"/>
    <w:rsid w:val="0078156E"/>
    <w:rsid w:val="00786E74"/>
    <w:rsid w:val="007D1285"/>
    <w:rsid w:val="007E49E1"/>
    <w:rsid w:val="007F6DA7"/>
    <w:rsid w:val="008174D5"/>
    <w:rsid w:val="00885126"/>
    <w:rsid w:val="0089698B"/>
    <w:rsid w:val="008D48A9"/>
    <w:rsid w:val="00941A30"/>
    <w:rsid w:val="0097558B"/>
    <w:rsid w:val="00977DCC"/>
    <w:rsid w:val="009820CF"/>
    <w:rsid w:val="00982A8B"/>
    <w:rsid w:val="009A7ED3"/>
    <w:rsid w:val="009D74D7"/>
    <w:rsid w:val="00A57AE7"/>
    <w:rsid w:val="00AF71AE"/>
    <w:rsid w:val="00B33C70"/>
    <w:rsid w:val="00B75228"/>
    <w:rsid w:val="00B811F1"/>
    <w:rsid w:val="00B81B9F"/>
    <w:rsid w:val="00BA53CB"/>
    <w:rsid w:val="00BC763A"/>
    <w:rsid w:val="00BC7D6F"/>
    <w:rsid w:val="00BD3CAC"/>
    <w:rsid w:val="00BF697A"/>
    <w:rsid w:val="00C52E77"/>
    <w:rsid w:val="00C65A44"/>
    <w:rsid w:val="00C76AC3"/>
    <w:rsid w:val="00C83EB4"/>
    <w:rsid w:val="00CE6125"/>
    <w:rsid w:val="00D4505A"/>
    <w:rsid w:val="00D65B41"/>
    <w:rsid w:val="00DC3234"/>
    <w:rsid w:val="00DC3CD0"/>
    <w:rsid w:val="00DD60B5"/>
    <w:rsid w:val="00E25A6B"/>
    <w:rsid w:val="00E7602B"/>
    <w:rsid w:val="00E964B2"/>
    <w:rsid w:val="00EA6549"/>
    <w:rsid w:val="00F007FE"/>
    <w:rsid w:val="017D4A3B"/>
    <w:rsid w:val="01A10E80"/>
    <w:rsid w:val="029D518A"/>
    <w:rsid w:val="03311B3F"/>
    <w:rsid w:val="03901927"/>
    <w:rsid w:val="05904970"/>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9F46E8A"/>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771F38"/>
    <w:rsid w:val="5236167C"/>
    <w:rsid w:val="52A37398"/>
    <w:rsid w:val="53C102A5"/>
    <w:rsid w:val="54380029"/>
    <w:rsid w:val="54A61249"/>
    <w:rsid w:val="54F16968"/>
    <w:rsid w:val="55AC416B"/>
    <w:rsid w:val="564C0516"/>
    <w:rsid w:val="5713248B"/>
    <w:rsid w:val="57833AC4"/>
    <w:rsid w:val="578735B4"/>
    <w:rsid w:val="588619EC"/>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9EC03DF"/>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1138</Words>
  <Characters>6493</Characters>
  <Lines>54</Lines>
  <Paragraphs>15</Paragraphs>
  <TotalTime>116</TotalTime>
  <ScaleCrop>false</ScaleCrop>
  <LinksUpToDate>false</LinksUpToDate>
  <CharactersWithSpaces>7616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2024-08-01T02:30:00Z</dcterms:created>
  <dc:creator>office</dc:creator>
  <cp:lastModifiedBy>Dell</cp:lastModifiedBy>
  <dcterms:modified xsi:type="dcterms:W3CDTF">2024-08-29T02:23:49Z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