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（原）天津市人民政府合作交流办公室2023年度部门决算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bookmarkStart w:id="0" w:name="_GoBack"/>
      <w:bookmarkEnd w:id="0"/>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贯彻执行国家有关加快东西部扶贫协作和对口支援工作、推动经济高质量发展的战略、方针和政策。研究起草有关地方性法规、政府规章草案，拟定有关政策。组织编制相关发展规划和年度计划。提供相关信息服务。</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负责国内招商引资规章的统筹规划、宏观指导、推动协调工作，建立完善工作体系和协调机制。组织有关部门落实国内招商引资计划，做好国内招商引资重点项目的跟踪服务。会同有关部门推进本市企业到各地投资和合作。负责国内招商引资工作的统计、综合分析、评价考核等工作。</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综合协调、组织推动本市承担的东西部扶贫协作和对口支援工作。会同有关部门安排对口支援资金。负责援受双方跨地区经济联合重点项目的协调和服务。指导、协调各区各部门和企业，组织动员社会力量，开展授受双方跨地区经济联合与协作工作。</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参与以国务院部门、东西部扶贫协作和对口支援地区政府名义在津举办跨省市经贸洽谈活动的工作。牵头组织以市政府名义组团参加跨地区各类经贸洽谈和商品交易等活动。组织或参与承办国内及内外结合的国际经济技术合作活动，开展外引内联招商引资洽谈及展销博览活动。</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负责本市政府代表团出访外地的组织、联络、协调、服务工作以及商谈合作事宜的准备工作。负责东西部扶贫协作和对口支援地区政府代表团来津的联络、协调工作。推动、协调与外地政府间签署的有关会议纪要、协议的落实工作。</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6.负责国务院各部门和外地县级以上政府驻津办事处机构管理、协调、指导和服务工作。</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7.在职责范围内为安全生产工作提供支持保障，共同推进安全生产发展。</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8.指导本领域人才队伍建设。</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9.市委、市政府交办的其他事项。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10.职能转变。</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仿宋_GB2312" w:cs="仿宋_GB2312"/>
          <w:sz w:val="30"/>
          <w:szCs w:val="30"/>
        </w:rPr>
        <w:t>内设16个职能处室；下辖1个预算单位。纳入</w:t>
      </w: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仿宋_GB2312" w:cs="仿宋_GB2312"/>
          <w:sz w:val="30"/>
          <w:szCs w:val="30"/>
        </w:rPr>
        <w:t>2023年度部门决算编制范围的单位包括：</w:t>
      </w:r>
    </w:p>
    <w:p>
      <w:pPr>
        <w:autoSpaceDE w:val="0"/>
        <w:autoSpaceDN w:val="0"/>
        <w:adjustRightInd w:val="0"/>
        <w:spacing w:line="600" w:lineRule="exact"/>
        <w:ind w:left="315" w:leftChars="15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w:t>
      </w: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仿宋_GB2312" w:cs="仿宋_GB2312"/>
          <w:sz w:val="30"/>
          <w:szCs w:val="30"/>
        </w:rPr>
        <w:t>（本级）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2、天津市合作交流综合服务中心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w:t>
      </w: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仿宋_GB2312" w:cs="仿宋_GB2312"/>
          <w:sz w:val="30"/>
          <w:szCs w:val="30"/>
        </w:rPr>
        <w:t>2023年度政府性基金预算财政拨款收入支出决算表为空表。</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仿宋_GB2312" w:cs="仿宋_GB2312"/>
          <w:sz w:val="30"/>
          <w:szCs w:val="30"/>
        </w:rPr>
        <w:t>2023年度国有资本经营预算财政拨款收入支出决算表为空表。</w:t>
      </w:r>
    </w:p>
    <w:p>
      <w:pPr>
        <w:widowControl/>
        <w:jc w:val="left"/>
        <w:rPr>
          <w:rFonts w:hint="eastAsia"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（原）天津市人民政府合作交流办公室2023年度收入、支出决算总计</w:t>
      </w:r>
      <w:r>
        <w:rPr>
          <w:rFonts w:hint="eastAsia" w:ascii="Times New Roman" w:hAnsi="Times New Roman" w:eastAsia="仿宋_GB2312" w:cs="仿宋_GB2312"/>
          <w:sz w:val="30"/>
          <w:szCs w:val="30"/>
        </w:rPr>
        <w:t>2,696,162,477.85元，与2022年度相比，收、支总计各减少283,990.37元，下降0.01%，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：单位人员退休导致经费总体减少。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2,695,366,503.49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年度相比减少515,807.70元，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：单位人员退休导致经费总体减少。</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2,694,755,298.99</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99.98</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611,204.50元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年度本年支出合计2,695,243,497.32元，与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年度相比减少736,226.25元，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单位人员退休导致经费总体减少。</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48,873,662.02元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占1.81%；</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2,646,369,835.30元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占98.19%。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2,694,755,298.99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年度相比，财政拨款收、支总计各减少859,965.53元，下降0.03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单位人员退休导致经费总体减少。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仿宋_GB2312" w:cs="仿宋_GB2312"/>
          <w:sz w:val="30"/>
          <w:szCs w:val="30"/>
        </w:rPr>
        <w:t>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计2,694,749,694.00元，占本年支出合计的99.98%，与2022年度相比，一般公共预算财政拨款支出减少853,718.35元，下降0.03%，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：单位人员退休导致经费总体减少，收入减少，支出相应减少。</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2,694,749,694.00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一般公共服务支出81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153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208.6</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元，占比3.01%；社会保障和就业支出4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537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903.44元，占比0.17%；卫生健康支出2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418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581.96元，占比0.09%；援助其他地区支出2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606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元，占比96.73%。</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2,696,134,000.00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2,694,749,694.00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99.95%</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1.一般公共服务支出（类）政府办公厅（室）及相关机构事务（款）行政运行（项）年初预算为39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756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917.45元，完成年初预算的99.95%，决算数小于年初预算数的主要原因是全员人员动态管理中退休人员增加，核减相应经费。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2.一般公共服务支出（类）政府办公厅（室）及相关机构事务（款）一般行政管理事务（项）年初预算为36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730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586.32元，完成年初预算的97.62%，决算数小于年初预算数的主要原因是经费收支减少。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3.一般公共服务支出（类）政府办公厅（室）及相关机构事务（款）事业运行（项）年初预算为1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892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666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455.85元，完成年初预算的88</w:t>
      </w:r>
      <w:r>
        <w:rPr>
          <w:rFonts w:ascii="Times New Roman" w:hAnsi="Times New Roman" w:eastAsia="仿宋_GB2312" w:cs="仿宋_GB2312"/>
          <w:sz w:val="30"/>
          <w:szCs w:val="30"/>
        </w:rPr>
        <w:t>.08</w:t>
      </w:r>
      <w:r>
        <w:rPr>
          <w:rFonts w:hint="eastAsia" w:ascii="Times New Roman" w:hAnsi="Times New Roman" w:eastAsia="仿宋_GB2312" w:cs="仿宋_GB2312"/>
          <w:sz w:val="30"/>
          <w:szCs w:val="30"/>
        </w:rPr>
        <w:t>%，决算数小于年初预算数的主要原因是人员动态管理中退休人员增加，核减相应经费。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4.一般公共服务支出（类）政府办公厅（室）及相关机构事务（款）其他政府办公厅（室）及相关机构事务支出（项）年初预算为600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786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261.28元，完成年初预算的 297</w:t>
      </w:r>
      <w:r>
        <w:rPr>
          <w:rFonts w:ascii="Times New Roman" w:hAnsi="Times New Roman" w:eastAsia="仿宋_GB2312" w:cs="仿宋_GB2312"/>
          <w:sz w:val="30"/>
          <w:szCs w:val="30"/>
        </w:rPr>
        <w:t>.71</w:t>
      </w:r>
      <w:r>
        <w:rPr>
          <w:rFonts w:hint="eastAsia" w:ascii="Times New Roman" w:hAnsi="Times New Roman" w:eastAsia="仿宋_GB2312" w:cs="仿宋_GB2312"/>
          <w:sz w:val="30"/>
          <w:szCs w:val="30"/>
        </w:rPr>
        <w:t>%，决算数大于年初预算数的主要原因是追加抚恤金支出1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202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733.8</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元，年初无此项预算，随抚恤事项发生在年中追加预算 。</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5.一般公共服务支出（类）商贸事务（款）招商引资（项）年初预算为2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212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987.7</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元，完成年初预算的76.3</w:t>
      </w:r>
      <w:r>
        <w:rPr>
          <w:rFonts w:ascii="Times New Roman" w:hAnsi="Times New Roman" w:eastAsia="仿宋_GB2312" w:cs="仿宋_GB2312"/>
          <w:sz w:val="30"/>
          <w:szCs w:val="30"/>
        </w:rPr>
        <w:t>1</w:t>
      </w:r>
      <w:r>
        <w:rPr>
          <w:rFonts w:hint="eastAsia" w:ascii="Times New Roman" w:hAnsi="Times New Roman" w:eastAsia="仿宋_GB2312" w:cs="仿宋_GB2312"/>
          <w:sz w:val="30"/>
          <w:szCs w:val="30"/>
        </w:rPr>
        <w:t xml:space="preserve">%，决算数小于年初预算数的主要原因是2023年初赴外省市招商活动、招商培训较计划减少。 </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6.社会保障和就业支出（类）行政事业单位养老支出（款）机关事业单位基本养老保险缴费支出（项）年初预算为3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336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025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268.96元，完成年初预算的90.</w:t>
      </w:r>
      <w:r>
        <w:rPr>
          <w:rFonts w:ascii="Times New Roman" w:hAnsi="Times New Roman" w:eastAsia="仿宋_GB2312" w:cs="仿宋_GB2312"/>
          <w:sz w:val="30"/>
          <w:szCs w:val="30"/>
        </w:rPr>
        <w:t>69</w:t>
      </w:r>
      <w:r>
        <w:rPr>
          <w:rFonts w:hint="eastAsia" w:ascii="Times New Roman" w:hAnsi="Times New Roman" w:eastAsia="仿宋_GB2312" w:cs="仿宋_GB2312"/>
          <w:sz w:val="30"/>
          <w:szCs w:val="30"/>
        </w:rPr>
        <w:t>%，决算数小于年初预算数的主要原因是人员动态管理中退休人员增加，核减相应经费。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7.社会保障和就业支出（类）行政事业单位养老支出（款）机关事业单位职业年金缴费支出（项）年初预算为1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668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512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634.48元，完成年初预算的</w:t>
      </w:r>
      <w:r>
        <w:rPr>
          <w:rFonts w:ascii="Times New Roman" w:hAnsi="Times New Roman" w:eastAsia="仿宋_GB2312" w:cs="仿宋_GB2312"/>
          <w:sz w:val="30"/>
          <w:szCs w:val="30"/>
        </w:rPr>
        <w:t>90.69</w:t>
      </w:r>
      <w:r>
        <w:rPr>
          <w:rFonts w:hint="eastAsia" w:ascii="Times New Roman" w:hAnsi="Times New Roman" w:eastAsia="仿宋_GB2312" w:cs="仿宋_GB2312"/>
          <w:sz w:val="30"/>
          <w:szCs w:val="30"/>
        </w:rPr>
        <w:t>%，决算数小于年初预算数的主要原因是人员动态管理中退休人员增加，核减相应经费。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8.卫生健康支出（类）行政事业单位医疗（款）行政单位医疗（项）年初预算为</w:t>
      </w:r>
      <w:r>
        <w:rPr>
          <w:rFonts w:ascii="Times New Roman" w:hAnsi="Times New Roman" w:eastAsia="仿宋_GB2312" w:cs="仿宋_GB2312"/>
          <w:sz w:val="30"/>
          <w:szCs w:val="30"/>
        </w:rPr>
        <w:t>2,099,000.00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937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764.26元，完成年初预算的</w:t>
      </w:r>
      <w:r>
        <w:rPr>
          <w:rFonts w:ascii="Times New Roman" w:hAnsi="Times New Roman" w:eastAsia="仿宋_GB2312" w:cs="仿宋_GB2312"/>
          <w:sz w:val="30"/>
          <w:szCs w:val="30"/>
        </w:rPr>
        <w:t>92.32</w:t>
      </w:r>
      <w:r>
        <w:rPr>
          <w:rFonts w:hint="eastAsia" w:ascii="Times New Roman" w:hAnsi="Times New Roman" w:eastAsia="仿宋_GB2312" w:cs="仿宋_GB2312"/>
          <w:sz w:val="30"/>
          <w:szCs w:val="30"/>
        </w:rPr>
        <w:t xml:space="preserve"> %，决算数小于年初预算数的主要原因是人员动态管理中退休人员增加，核减相应经费。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9.卫生健康支出（类）行政事业单位医疗（款）事业单位医疗（项）年初预算为55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元，完成年初预算的100%，决算数等于年初预算数的主要原因是严格</w:t>
      </w:r>
      <w:r>
        <w:rPr>
          <w:rFonts w:ascii="Times New Roman" w:hAnsi="Times New Roman" w:eastAsia="仿宋_GB2312" w:cs="仿宋_GB2312"/>
          <w:sz w:val="30"/>
          <w:szCs w:val="30"/>
        </w:rPr>
        <w:t>按照预算执行支出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10.卫生健康支出（类）行政事业单位医疗（款）公务员医疗补助（项）年初预算为396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元，支出决算为357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917.7</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90.38</w:t>
      </w:r>
      <w:r>
        <w:rPr>
          <w:rFonts w:hint="eastAsia" w:ascii="Times New Roman" w:hAnsi="Times New Roman" w:eastAsia="仿宋_GB2312" w:cs="仿宋_GB2312"/>
          <w:sz w:val="30"/>
          <w:szCs w:val="30"/>
        </w:rPr>
        <w:t>%，决算数小于年初预算数的主要原因是人员动态管理中退休人员增加，核减相应经费。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11.卫生健康支出（类）行政事业单位医疗（款）其他行政事业单位医疗支出（项）年初预算为170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元，支出决算为67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元，完成年初预算的39.94%，决算数小于年初预算数的主要原因是人员动态管理中退休人员增加，核减相应经费。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12.援助其他地区支出（类）其他支出（款）其他支出（项）年初预算为2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606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64</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606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元，完成年初预算的100%，决算数等于年初预算数的主要原因是严格</w:t>
      </w:r>
      <w:r>
        <w:rPr>
          <w:rFonts w:ascii="Times New Roman" w:hAnsi="Times New Roman" w:eastAsia="仿宋_GB2312" w:cs="仿宋_GB2312"/>
          <w:sz w:val="30"/>
          <w:szCs w:val="30"/>
        </w:rPr>
        <w:t>按照预算执行</w:t>
      </w:r>
      <w:r>
        <w:rPr>
          <w:rFonts w:hint="eastAsia" w:ascii="Times New Roman" w:hAnsi="Times New Roman" w:eastAsia="仿宋_GB2312" w:cs="仿宋_GB2312"/>
          <w:sz w:val="30"/>
          <w:szCs w:val="30"/>
        </w:rPr>
        <w:t>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48,379,858.70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年度相比减少1,595,807.11元，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随着在职人员逐步退休，减人同时相应人员经费、公用经费支出减少，同时厉行勤俭节约，压缩不必要支出。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42,968,497.60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医疗费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5,411,361.10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差旅费、维修（护）费、租赁费、会议费、培训费、公务接待费、劳务费、委托业务费、工会经费、福利费、公务用车运行维护费、其他交通费用、税金及附加费用、其他商品和服务支出、基础设施建设、信息网络及软件购置更新、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仿宋_GB2312" w:cs="仿宋_GB2312"/>
          <w:sz w:val="30"/>
          <w:szCs w:val="30"/>
        </w:rPr>
        <w:t>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仿宋_GB2312" w:cs="仿宋_GB2312"/>
          <w:sz w:val="30"/>
          <w:szCs w:val="30"/>
        </w:rPr>
        <w:t>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180,000.00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97,900.80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82,099.20</w:t>
      </w:r>
      <w:r>
        <w:rPr>
          <w:rFonts w:hint="eastAsia" w:ascii="Times New Roman" w:hAnsi="Times New Roman" w:eastAsia="仿宋_GB2312" w:cs="仿宋_GB2312"/>
          <w:kern w:val="0"/>
          <w:sz w:val="30"/>
          <w:szCs w:val="30"/>
        </w:rPr>
        <w:t>元，完成预算的54.39</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82,497.30元，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535.58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厉行节约，压缩</w:t>
      </w:r>
      <w:r>
        <w:rPr>
          <w:rFonts w:hint="eastAsia" w:ascii="Times New Roman" w:hAnsi="Times New Roman" w:eastAsia="仿宋_GB2312" w:cs="仿宋_GB2312"/>
          <w:sz w:val="30"/>
          <w:szCs w:val="30"/>
          <w:lang w:eastAsia="zh-CN"/>
        </w:rPr>
        <w:t>三公经费</w:t>
      </w:r>
      <w:r>
        <w:rPr>
          <w:rFonts w:hint="eastAsia" w:ascii="Times New Roman" w:hAnsi="Times New Roman" w:eastAsia="仿宋_GB2312" w:cs="仿宋_GB2312"/>
          <w:sz w:val="30"/>
          <w:szCs w:val="30"/>
        </w:rPr>
        <w:t>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公务接待活动恢复，公务接待支出有所增加。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本年度未列因公出国（境）费</w:t>
      </w:r>
      <w:r>
        <w:rPr>
          <w:rFonts w:hint="eastAsia" w:ascii="Times New Roman" w:hAnsi="Times New Roman" w:eastAsia="仿宋_GB2312" w:cs="仿宋_GB2312"/>
          <w:kern w:val="0"/>
          <w:sz w:val="30"/>
          <w:szCs w:val="30"/>
        </w:rPr>
        <w:t>预算。</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2,157.00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37,843.00</w:t>
      </w:r>
      <w:r>
        <w:rPr>
          <w:rFonts w:hint="eastAsia" w:ascii="Times New Roman" w:hAnsi="Times New Roman" w:eastAsia="仿宋_GB2312" w:cs="仿宋_GB2312"/>
          <w:kern w:val="0"/>
          <w:sz w:val="30"/>
          <w:szCs w:val="30"/>
        </w:rPr>
        <w:t>元，完成预算的5.39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5,326.00元，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71.17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厉行节约，压缩</w:t>
      </w:r>
      <w:r>
        <w:rPr>
          <w:rFonts w:hint="eastAsia" w:ascii="Times New Roman" w:hAnsi="Times New Roman" w:eastAsia="仿宋_GB2312" w:cs="仿宋_GB2312"/>
          <w:sz w:val="30"/>
          <w:szCs w:val="30"/>
          <w:lang w:eastAsia="zh-CN"/>
        </w:rPr>
        <w:t>公务用车运行维护费</w:t>
      </w:r>
      <w:r>
        <w:rPr>
          <w:rFonts w:hint="eastAsia" w:ascii="Times New Roman" w:hAnsi="Times New Roman" w:eastAsia="仿宋_GB2312" w:cs="仿宋_GB2312"/>
          <w:sz w:val="30"/>
          <w:szCs w:val="30"/>
        </w:rPr>
        <w:t>非必要支出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2,157.00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37,843.00</w:t>
      </w:r>
      <w:r>
        <w:rPr>
          <w:rFonts w:hint="eastAsia" w:ascii="Times New Roman" w:hAnsi="Times New Roman" w:eastAsia="仿宋_GB2312" w:cs="仿宋_GB2312"/>
          <w:kern w:val="0"/>
          <w:sz w:val="30"/>
          <w:szCs w:val="30"/>
        </w:rPr>
        <w:t>元，完成预算的5.39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5,326.00元，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71.17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厉行节约，压缩</w:t>
      </w:r>
      <w:r>
        <w:rPr>
          <w:rFonts w:hint="eastAsia" w:ascii="Times New Roman" w:hAnsi="Times New Roman" w:eastAsia="仿宋_GB2312" w:cs="仿宋_GB2312"/>
          <w:kern w:val="0"/>
          <w:sz w:val="30"/>
          <w:szCs w:val="30"/>
        </w:rPr>
        <w:t>公务用车运行维护费</w:t>
      </w:r>
      <w:r>
        <w:rPr>
          <w:rFonts w:hint="eastAsia" w:ascii="Times New Roman" w:hAnsi="Times New Roman" w:eastAsia="仿宋_GB2312" w:cs="仿宋_GB2312"/>
          <w:sz w:val="30"/>
          <w:szCs w:val="30"/>
        </w:rPr>
        <w:t>非必要支出</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w:t>
      </w:r>
      <w:r>
        <w:rPr>
          <w:rFonts w:hint="eastAsia" w:ascii="Times New Roman" w:hAnsi="Times New Roman" w:eastAsia="仿宋_GB2312" w:cs="仿宋_GB2312"/>
          <w:sz w:val="30"/>
          <w:szCs w:val="30"/>
          <w:lang w:eastAsia="zh-CN"/>
        </w:rPr>
        <w:t>用财政拨款经费列支</w:t>
      </w:r>
      <w:r>
        <w:rPr>
          <w:rFonts w:hint="eastAsia" w:ascii="Times New Roman" w:hAnsi="Times New Roman" w:eastAsia="仿宋_GB2312" w:cs="仿宋_GB2312"/>
          <w:kern w:val="0"/>
          <w:sz w:val="30"/>
          <w:szCs w:val="30"/>
        </w:rPr>
        <w:t>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lang w:eastAsia="zh-C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95,743.80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44,256.20</w:t>
      </w:r>
      <w:r>
        <w:rPr>
          <w:rFonts w:hint="eastAsia" w:ascii="Times New Roman" w:hAnsi="Times New Roman" w:eastAsia="仿宋_GB2312" w:cs="仿宋_GB2312"/>
          <w:kern w:val="0"/>
          <w:sz w:val="30"/>
          <w:szCs w:val="30"/>
        </w:rPr>
        <w:t>元，完成预算的68.39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87,823.30元，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1108.81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厉行勤俭节约，减少公务接待支出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公务接待活动恢复，公务接待支出有所增加</w:t>
      </w:r>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31</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241</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lang w:eastAsia="zh-CN"/>
        </w:rPr>
        <w:t>（原）天津市人民政府合作交流办公室</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5,183,367.26</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年减少513,133.79元，降低9.01</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厉行勤俭节约，压缩不必要支出</w:t>
      </w:r>
      <w:r>
        <w:rPr>
          <w:rFonts w:hint="eastAsia" w:ascii="Times New Roman" w:hAnsi="Times New Roman" w:eastAsia="仿宋_GB2312" w:cs="仿宋_GB2312"/>
          <w:sz w:val="30"/>
          <w:szCs w:val="30"/>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lang w:eastAsia="zh-CN"/>
        </w:rPr>
        <w:t>（原）天津市人民政府合作交流办公室</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1,000.00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1,000.00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仿宋_GB2312" w:cs="仿宋_GB2312"/>
          <w:sz w:val="30"/>
          <w:szCs w:val="30"/>
        </w:rPr>
        <w:t>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w:t>
      </w: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仿宋_GB2312" w:cs="仿宋_GB2312"/>
          <w:sz w:val="30"/>
          <w:szCs w:val="30"/>
        </w:rPr>
        <w:t>2023年度已对21个市级项目开展绩效自评，涉及金额39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729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835.3</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元，自评结果已随部门决算一并公开。本部门2023年度已对2个项目开展部门评价，涉及金额1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617,058.75元。</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lang w:eastAsia="zh-CN"/>
        </w:rPr>
        <w:t>（原）天津市人民政府合作交流办公室</w:t>
      </w:r>
      <w:r>
        <w:rPr>
          <w:rFonts w:hint="eastAsia" w:ascii="Times New Roman" w:hAnsi="Times New Roman" w:eastAsia="仿宋_GB2312" w:cs="仿宋_GB2312"/>
          <w:sz w:val="30"/>
          <w:szCs w:val="30"/>
        </w:rPr>
        <w:t>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0E59E3"/>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57434"/>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460EA"/>
    <w:rsid w:val="00885126"/>
    <w:rsid w:val="0089698B"/>
    <w:rsid w:val="008D48A9"/>
    <w:rsid w:val="00941A30"/>
    <w:rsid w:val="00977DCC"/>
    <w:rsid w:val="009820CF"/>
    <w:rsid w:val="00982A8B"/>
    <w:rsid w:val="0099577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00DB7"/>
    <w:rsid w:val="00F818F4"/>
    <w:rsid w:val="00FE054E"/>
    <w:rsid w:val="016A6EA9"/>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353F17"/>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90C58A8"/>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26E0F89"/>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D37FAF"/>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38617-3BB2-4954-932F-F08739460D0A}">
  <ds:schemaRefs/>
</ds:datastoreItem>
</file>

<file path=docProps/app.xml><?xml version="1.0" encoding="utf-8"?>
<Properties xmlns="http://schemas.openxmlformats.org/officeDocument/2006/extended-properties" xmlns:vt="http://schemas.openxmlformats.org/officeDocument/2006/docPropsVTypes">
  <Template>Normal</Template>
  <Pages>17</Pages>
  <Words>1044</Words>
  <Characters>5953</Characters>
  <Lines>49</Lines>
  <Paragraphs>13</Paragraphs>
  <TotalTime>2</TotalTime>
  <ScaleCrop>false</ScaleCrop>
  <LinksUpToDate>false</LinksUpToDate>
  <CharactersWithSpaces>6984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2024-08-02T07:54:00Z</dcterms:created>
  <dc:creator>office</dc:creator>
  <cp:lastModifiedBy>Dell</cp:lastModifiedBy>
  <dcterms:modified xsi:type="dcterms:W3CDTF">2024-08-29T02:14:44Z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