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天津市人民政府办公厅</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（一）市政府办公厅主要职责</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天津市人民政府办公厅为协助市政府领导同志处理市政府日常工作的机构。主要职责是：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1.负责党中央、国务院及其部委、外省区市来文来电和各区政府、市政府各部门及有关单位请示、报告、信件、公函的分发和处理工作。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2.承担中央领导同志重要批示指示，市委、市政府重要部署要求，市领导同志批示指示和交办事项贯彻落实情况的督查检查，负责市级政府部门绩效考评工作。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3.协助市政府领导同志组织起草或审核以市政府、市政府办公厅名义上报或下发的文件。</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4.研究各区政府、市政府各部门请示市政府的事项，提出审核意见，报市政府领导同志审批。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5.负责市政府各类会议的筹备、组织、服务工作，协助市政府领导同志组织实施会议决定事项。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6.负责市政府领导同志政务活动的计划安排、组织服务、后勤保障工作。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7.负责市政府总值班工作，指导各区政府、市政府各部门值班工作。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8.负责组织协调市政府有关部门办理人大议案、建议和政协建议案、提案。</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9.负责20项民心工程的筹划立项、推动落实和督查检查等工作。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10.负责市政府和办公厅领导同志公务接待服务工作。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11.负责联系、服务企业家工作。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12.负责我市举办或承办的有关大型会展论坛活动的总体策划、沟通协调、组织实施工作。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13.指导各有关部门向市政府报送经济社会发展工作重要情况和信息，指导、监督全市政务公开和政府信息公开工作。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14.承办市委、市政府和市政府领导同志交办的其他事项。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（二）市政府驻京办主要职责</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1.承担市委、市政府委托的工作。承担市委、市政府在京政务活动的服务保障工作。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2.服务京津冀协同发展有关工作。搭建资源对接平台，服务我市有关部门和各区承接北京非首都功能疏解工作。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3.做好信息和调研工作。根据市委、市政府中心工作为有关部门提供信息服务。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4.协调维护首都稳定工作。协调津京有关部门做好维护首都稳定的有关工作。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5.强化公共服务和社会管理。为我市基层组织在京活动提供相关服务。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6.承办中央、国家机关和北京有关部门交办事项。负责党中央、国务院各部委领导到津调研考察等在京政务接待服务工作。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天津市人民政府办公厅内设23个职能处室和机关党委办公室。下辖3个预算单位。纳入天津市人民政府办公厅2023年度部门决算编制范围的单位包括：</w:t>
      </w:r>
    </w:p>
    <w:p>
      <w:pPr>
        <w:autoSpaceDE w:val="0"/>
        <w:autoSpaceDN w:val="0"/>
        <w:adjustRightInd w:val="0"/>
        <w:spacing w:line="600" w:lineRule="exact"/>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1.天津市人民政府办公厅（本级）</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2.天津市人民政府办公厅政务信息发布中心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3.天津市人民政府办公厅综合服务中心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4.天津市人民政府驻北京办事处（含驻京办招待所）</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1.天津市人民政府办公厅2023年度政府性基金预算财政拨款收入支出决算表为空表。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2.天津市人民政府办公厅2023年度国有资本经营预算财政拨款收入支出决算表为空表。</w:t>
      </w:r>
    </w:p>
    <w:p>
      <w:pPr>
        <w:keepNext/>
        <w:keepLines/>
        <w:autoSpaceDE w:val="0"/>
        <w:autoSpaceDN w:val="0"/>
        <w:adjustRightInd w:val="0"/>
        <w:spacing w:line="600" w:lineRule="exact"/>
        <w:ind w:firstLine="600"/>
        <w:jc w:val="left"/>
        <w:outlineLvl w:val="1"/>
        <w:rPr>
          <w:rFonts w:ascii="Times New Roman" w:hAnsi="Times New Roman" w:eastAsia="仿宋_GB2312" w:cs="仿宋_GB2312"/>
          <w:kern w:val="0"/>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天津市人民政府办公厅2023年度收入、支出决算总计</w:t>
      </w:r>
      <w:r>
        <w:rPr>
          <w:rFonts w:hint="eastAsia" w:ascii="Times New Roman" w:hAnsi="Times New Roman" w:eastAsia="仿宋_GB2312" w:cs="仿宋_GB2312"/>
          <w:sz w:val="30"/>
          <w:szCs w:val="30"/>
        </w:rPr>
        <w:t>150,036,648.64元，与2022年度相比，收、支总计各增加28,098,357.29元，增长23.04%，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：增加天津夏季达沃斯论坛等项目经费。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天津市人民政府办公厅</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145,108,116.92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年度相比增加30,964,854.25元，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：增加天津夏季达沃斯论坛等项目经费。</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144,730,757.62</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99.74</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事业收入</w:t>
      </w:r>
      <w:r>
        <w:rPr>
          <w:rFonts w:hint="eastAsia" w:ascii="Times New Roman" w:hAnsi="Times New Roman" w:eastAsia="仿宋_GB2312" w:cs="仿宋_GB2312"/>
          <w:sz w:val="30"/>
          <w:szCs w:val="30"/>
          <w:lang w:val="zh-CN"/>
        </w:rPr>
        <w:t>353,466.78元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0.24%；</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23,892.52元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天津市人民政府办公厅</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年度本年支出合计148,875,845.48元，与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年度相比增加32,986,005.64元，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增加天津夏季达沃斯论坛等项目经费。</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92,420,293.65元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占62.08%；</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56,455,551.83元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占37.92%。</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天津市人民政府办公厅</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148,691,216.94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年度相比，财政拨款收、支总计各增加27,161,797.47元，增长22.35</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增加天津夏季达沃斯论坛等项目经费。</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天津市人民政府办公厅2023年度部门决算一般公共预算财政拨款支出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计148,629,483.25元，占本年支出合计的99.83%，与2022年度相比，一般公共预算财政拨款支出增加32,939,024.37元，增长28.47%，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：增加天津夏季达沃斯论坛等项目经费。</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148,629,483.25</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一般公共服务支出135,653,642.60元，占91.27%；社会保障和就业支出8,844,342.73元，占5.95%；卫生健康支出4,131,497.92元，占2.78%。</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120,815,400.00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148,629,483.25</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123.02%</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一般公共服务支出（类）政府办公厅（室）及相关机构事务（款）行政运行（项）年初预算为72,887,000.00元，支出决算为74,754,481.75元，完成年初预算的102.56%，决算数大于年初预算数的主要原因是人员增加，追加人员经费预算等。</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一般公共服务支出（类）政府办公厅（室）及相关机构事务（款）一般行政管理事务（项）年初预算为29,621,400.00元，支出决算为34,780,490.63元，完成年初预算的117.42%，决算数大于年初预算数的主要原因是市财政局追加</w:t>
      </w:r>
      <w:r>
        <w:rPr>
          <w:rFonts w:hint="eastAsia" w:ascii="Times New Roman" w:hAnsi="Times New Roman" w:eastAsia="仿宋_GB2312" w:cs="仿宋_GB2312"/>
          <w:sz w:val="30"/>
          <w:szCs w:val="30"/>
          <w:lang w:eastAsia="zh-CN"/>
        </w:rPr>
        <w:t>信息化建设</w:t>
      </w:r>
      <w:r>
        <w:rPr>
          <w:rFonts w:hint="eastAsia" w:ascii="Times New Roman" w:hAnsi="Times New Roman" w:eastAsia="仿宋_GB2312" w:cs="仿宋_GB2312"/>
          <w:sz w:val="30"/>
          <w:szCs w:val="30"/>
        </w:rPr>
        <w:t>项目等。</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一般公共服务支出（类）政府办公厅（室）及相关机构事务（款）机关服务（项）年初预算为4,605,000.00元，支出决算为4,443,609.02元，完成年初预算的96.50%，决算数小于年初预算数的主要原因是所属事业单位在职人员退休等。</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一般公共服务支出（类）政府办公厅（室）及相关机构事务（款）专项业务及机关事务管理（项）年初预算为0.00元，追加预算为20,000,000.00元，支出决算为20,000,000.00元，完成追加预算的100%，决算数等于追加预算数的主要原因是市财政局追加天津夏季达沃斯论坛项目。</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一般公共服务支出（类）政府办公厅（室）及相关机构事务（款）其他政府办公厅（室）及相关机构事务支出（项）年初预算为0.00元，追加预算为1,675,061.20元，支出决算为1,675,061.20元，完成追加预算的100%，决算数等于追加预算数的主要原因是市财政局追加已故人员抚恤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6.社会保障和就业支出（类）行政事业单位养老支出（款）机关事业单位基本养老保险缴费支出（项）年初预算为6,030,000.00元，支出决算为5,896,228.81元，完成年初预算的97.78%，决算数小于年初预算数的主要原因是预算执行中人员变动导致略有差异。</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7.社会保障和就业支出（类）行政事业单位养老支出（款）机关事业单位职业年金缴费支出（项）年初预算3,015,000.00元，支出决算为2,948,113.92元，完成年初预算的97.78%，决算数小于年初预算数的主要原因是预算执行中人员变动导致略有差异。</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8.卫生健康支出（类）行政事业单位医疗（款）行政单位医疗（项）年初预算为3,677,000.00元，支出决算为3,261,363.14元，完成年初预算的88.70%，决算数小于年初预算数的主要原因是医保政策调整，减少行政单位医疗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9.卫生健康支出（类）行政事业单位医疗（款）事业单位医疗（项）年初预算为217,000.00元，支出决算为215,780.42元，完成年初预算的99.44%，决算数小于年初预算数的主要原因是预算执行中人员变动导致略有差异。</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10.卫生健康支出（类）行政事业单位医疗（款）公务员医疗补助（项）年初预算为700,000.00元，支出决算为626,354.36元，完成年初预算的89.48%，决算数小于年初预算数的主要原因是医保政策调整，减少公务员医疗补助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11.卫生健康支出（类）行政事业单位医疗（款）其他行政事业单位医疗支出（项）年初预算为63,000.00元，支出决算为28,000.00元，完成年初预算的44.44%，决算数小于年初预算数的主要原因是所属事业单位中有的单位本年度未发生其他行政事业单位医疗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天津市人民政府办公厅</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92,173,931.42</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年度相比增加4,255,211.72元，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一是人员增加，人员经费相应增加。二是受疫情影响，2022年市政府办公厅未安排因公出国（境）任务。疫情过后，2023年市政府办公厅深入贯彻落实二十大精神，坚决落实市委市政府“十项行动”，安排出国（境）任务，宣介我市对外开放政策、深化交流合作，持续推动我市经济社会高质量发展。因此，2023年因公出国（境）费较2022年相应增加。三是市政府驻京办扩展了物业服务项目内容，物业管理费支出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81,413,429.48</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主要包括基本工资、津贴补贴、奖金、绩效工资、机关事业单位基本养老保险缴费、职业年金缴费、职工基本医疗保险缴费、公务员医疗补助缴费、其他社会保障缴费、住房公积金、医疗费、其他工资福利支出、离休费、退休费等。</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10,760,501.94</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手续费、水费、电费、邮电费、取暖费、物业管理费、差旅费、因公出国（境）费用、维修（护）费、租赁费、公务接待费、劳务费、工会经费、福利费、公务用车运行维护费、其他交通费用、税金及附加费用、其他商品和服务支出、办公设备购置、专用设备购置等。</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天津市人民政府办公厅2023年度无政府性基金预算财政拨款收入、支出和结转结余。</w:t>
      </w:r>
      <w:r>
        <w:rPr>
          <w:rFonts w:hint="eastAsia" w:ascii="Times New Roman" w:hAnsi="Times New Roman" w:eastAsia="仿宋_GB2312" w:cs="仿宋_GB2312"/>
          <w:sz w:val="30"/>
          <w:szCs w:val="30"/>
        </w:rPr>
        <w:tab/>
      </w:r>
    </w:p>
    <w:p>
      <w:pPr>
        <w:autoSpaceDE w:val="0"/>
        <w:autoSpaceDN w:val="0"/>
        <w:adjustRightInd w:val="0"/>
        <w:spacing w:line="600" w:lineRule="exact"/>
        <w:ind w:firstLine="600"/>
        <w:jc w:val="left"/>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天津市人民政府办公厅2023年度无国有资本经营预算财政拨款收入、支出和结转结余。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经费年初预算</w:t>
      </w:r>
      <w:r>
        <w:rPr>
          <w:rFonts w:hint="eastAsia" w:ascii="Times New Roman" w:hAnsi="Times New Roman" w:eastAsia="仿宋_GB2312" w:cs="Times New Roman"/>
          <w:kern w:val="0"/>
          <w:sz w:val="30"/>
          <w:szCs w:val="30"/>
        </w:rPr>
        <w:t>1,404,000.00</w:t>
      </w:r>
      <w:r>
        <w:rPr>
          <w:rFonts w:hint="eastAsia" w:ascii="Times New Roman" w:hAnsi="Times New Roman" w:eastAsia="仿宋_GB2312" w:cs="仿宋_GB2312"/>
          <w:kern w:val="0"/>
          <w:sz w:val="30"/>
          <w:szCs w:val="30"/>
        </w:rPr>
        <w:t>元，追加</w:t>
      </w:r>
      <w:r>
        <w:rPr>
          <w:rFonts w:ascii="Times New Roman" w:hAnsi="Times New Roman" w:eastAsia="仿宋_GB2312" w:cs="仿宋_GB2312"/>
          <w:kern w:val="0"/>
          <w:sz w:val="30"/>
          <w:szCs w:val="30"/>
        </w:rPr>
        <w:t>预算</w:t>
      </w:r>
      <w:r>
        <w:rPr>
          <w:rFonts w:hint="eastAsia" w:ascii="Times New Roman" w:hAnsi="Times New Roman" w:eastAsia="仿宋_GB2312" w:cs="仿宋_GB2312"/>
          <w:kern w:val="0"/>
          <w:sz w:val="30"/>
          <w:szCs w:val="30"/>
          <w:lang w:eastAsia="zh-CN"/>
        </w:rPr>
        <w:t>为</w:t>
      </w:r>
      <w:r>
        <w:rPr>
          <w:rFonts w:hint="eastAsia" w:ascii="Times New Roman" w:hAnsi="Times New Roman" w:eastAsia="仿宋_GB2312" w:cs="Times New Roman"/>
          <w:kern w:val="0"/>
          <w:sz w:val="30"/>
          <w:szCs w:val="30"/>
        </w:rPr>
        <w:t>398,325.60元，</w:t>
      </w:r>
      <w:r>
        <w:rPr>
          <w:rFonts w:hint="eastAsia" w:ascii="Times New Roman" w:hAnsi="Times New Roman" w:eastAsia="仿宋_GB2312" w:cs="仿宋_GB2312"/>
          <w:kern w:val="0"/>
          <w:sz w:val="30"/>
          <w:szCs w:val="30"/>
        </w:rPr>
        <w:t>支出决算</w:t>
      </w:r>
      <w:r>
        <w:rPr>
          <w:rFonts w:hint="eastAsia" w:ascii="Times New Roman" w:hAnsi="Times New Roman" w:eastAsia="仿宋_GB2312" w:cs="Times New Roman"/>
          <w:kern w:val="0"/>
          <w:sz w:val="30"/>
          <w:szCs w:val="30"/>
        </w:rPr>
        <w:t>1,774,259.99</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减少28</w:t>
      </w:r>
      <w:r>
        <w:rPr>
          <w:rFonts w:hint="eastAsia" w:ascii="Times New Roman" w:hAnsi="Times New Roman" w:eastAsia="仿宋_GB2312" w:cs="Times New Roman"/>
          <w:kern w:val="0"/>
          <w:sz w:val="30"/>
          <w:szCs w:val="30"/>
        </w:rPr>
        <w:t>,</w:t>
      </w:r>
      <w:r>
        <w:rPr>
          <w:rFonts w:ascii="Times New Roman" w:hAnsi="Times New Roman" w:eastAsia="仿宋_GB2312" w:cs="Times New Roman"/>
          <w:kern w:val="0"/>
          <w:sz w:val="30"/>
          <w:szCs w:val="30"/>
        </w:rPr>
        <w:t>065.61</w:t>
      </w:r>
      <w:r>
        <w:rPr>
          <w:rFonts w:hint="eastAsia" w:ascii="Times New Roman" w:hAnsi="Times New Roman" w:eastAsia="仿宋_GB2312" w:cs="仿宋_GB2312"/>
          <w:kern w:val="0"/>
          <w:sz w:val="30"/>
          <w:szCs w:val="30"/>
        </w:rPr>
        <w:t>元，完成预算的</w:t>
      </w:r>
      <w:r>
        <w:rPr>
          <w:rFonts w:ascii="Times New Roman" w:hAnsi="Times New Roman" w:eastAsia="仿宋_GB2312" w:cs="仿宋_GB2312"/>
          <w:kern w:val="0"/>
          <w:sz w:val="30"/>
          <w:szCs w:val="30"/>
        </w:rPr>
        <w:t>98.44</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1,367,327.31元，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336.01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lang w:eastAsia="zh-CN"/>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highlight w:val="none"/>
          <w:lang w:eastAsia="zh-CN"/>
        </w:rPr>
        <w:t>认真贯彻落实“过紧日子”要求，厉行节约，从严控制“三公”经费开支</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受疫情影响，2022年市政府办公厅未安排因公出国（境）任务，也未发生因公出国（境）费用。因此，2023年决算数较上年增加因公出国（境）费用支出。</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因公出国（境）费年初预算</w:t>
      </w:r>
      <w:r>
        <w:rPr>
          <w:rFonts w:hint="eastAsia" w:ascii="Times New Roman" w:hAnsi="Times New Roman" w:eastAsia="仿宋_GB2312" w:cs="Times New Roman"/>
          <w:kern w:val="0"/>
          <w:sz w:val="30"/>
          <w:szCs w:val="30"/>
        </w:rPr>
        <w:t>908,000.00</w:t>
      </w:r>
      <w:r>
        <w:rPr>
          <w:rFonts w:hint="eastAsia" w:ascii="Times New Roman" w:hAnsi="Times New Roman" w:eastAsia="仿宋_GB2312" w:cs="仿宋_GB2312"/>
          <w:kern w:val="0"/>
          <w:sz w:val="30"/>
          <w:szCs w:val="30"/>
        </w:rPr>
        <w:t>元，追加</w:t>
      </w:r>
      <w:r>
        <w:rPr>
          <w:rFonts w:ascii="Times New Roman" w:hAnsi="Times New Roman" w:eastAsia="仿宋_GB2312" w:cs="仿宋_GB2312"/>
          <w:kern w:val="0"/>
          <w:sz w:val="30"/>
          <w:szCs w:val="30"/>
        </w:rPr>
        <w:t>预算</w:t>
      </w:r>
      <w:r>
        <w:rPr>
          <w:rFonts w:hint="eastAsia" w:ascii="Times New Roman" w:hAnsi="Times New Roman" w:eastAsia="仿宋_GB2312" w:cs="仿宋_GB2312"/>
          <w:kern w:val="0"/>
          <w:sz w:val="30"/>
          <w:szCs w:val="30"/>
          <w:lang w:eastAsia="zh-CN"/>
        </w:rPr>
        <w:t>为</w:t>
      </w:r>
      <w:r>
        <w:rPr>
          <w:rFonts w:hint="eastAsia" w:ascii="Times New Roman" w:hAnsi="Times New Roman" w:eastAsia="仿宋_GB2312" w:cs="Times New Roman"/>
          <w:kern w:val="0"/>
          <w:sz w:val="30"/>
          <w:szCs w:val="30"/>
        </w:rPr>
        <w:t>398,325.60元，</w:t>
      </w:r>
      <w:r>
        <w:rPr>
          <w:rFonts w:hint="eastAsia" w:ascii="Times New Roman" w:hAnsi="Times New Roman" w:eastAsia="仿宋_GB2312" w:cs="仿宋_GB2312"/>
          <w:kern w:val="0"/>
          <w:sz w:val="30"/>
          <w:szCs w:val="30"/>
        </w:rPr>
        <w:t>支出决算</w:t>
      </w:r>
      <w:r>
        <w:rPr>
          <w:rFonts w:hint="eastAsia" w:ascii="Times New Roman" w:hAnsi="Times New Roman" w:eastAsia="仿宋_GB2312" w:cs="Times New Roman"/>
          <w:kern w:val="0"/>
          <w:sz w:val="30"/>
          <w:szCs w:val="30"/>
        </w:rPr>
        <w:t>1,306,325.60</w:t>
      </w:r>
      <w:r>
        <w:rPr>
          <w:rFonts w:hint="eastAsia" w:ascii="Times New Roman" w:hAnsi="Times New Roman" w:eastAsia="仿宋_GB2312" w:cs="仿宋_GB2312"/>
          <w:kern w:val="0"/>
          <w:sz w:val="30"/>
          <w:szCs w:val="30"/>
        </w:rPr>
        <w:t>元，与预算持平，完成预算的1</w:t>
      </w:r>
      <w:r>
        <w:rPr>
          <w:rFonts w:ascii="Times New Roman" w:hAnsi="Times New Roman" w:eastAsia="仿宋_GB2312" w:cs="仿宋_GB2312"/>
          <w:kern w:val="0"/>
          <w:sz w:val="30"/>
          <w:szCs w:val="30"/>
        </w:rPr>
        <w:t>00.00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1,306,325.60元，</w:t>
      </w:r>
      <w:r>
        <w:rPr>
          <w:rFonts w:hint="eastAsia" w:ascii="Times New Roman" w:hAnsi="Times New Roman" w:eastAsia="仿宋_GB2312" w:cs="仿宋_GB2312"/>
          <w:sz w:val="30"/>
          <w:szCs w:val="30"/>
        </w:rPr>
        <w:t>增长10</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lang w:eastAsia="zh-CN"/>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合理安排</w:t>
      </w:r>
      <w:r>
        <w:rPr>
          <w:rFonts w:hint="eastAsia" w:ascii="Times New Roman" w:hAnsi="Times New Roman" w:eastAsia="仿宋_GB2312" w:cs="仿宋_GB2312"/>
          <w:kern w:val="0"/>
          <w:sz w:val="30"/>
          <w:szCs w:val="30"/>
        </w:rPr>
        <w:t>因公出国（境）费</w:t>
      </w:r>
      <w:r>
        <w:rPr>
          <w:rFonts w:hint="eastAsia" w:ascii="Times New Roman" w:hAnsi="Times New Roman" w:eastAsia="仿宋_GB2312" w:cs="仿宋_GB2312"/>
          <w:sz w:val="30"/>
          <w:szCs w:val="30"/>
        </w:rPr>
        <w:t>使用，严格按照预算执行。</w:t>
      </w:r>
      <w:bookmarkStart w:id="0" w:name="_GoBack"/>
      <w:bookmarkEnd w:id="0"/>
    </w:p>
    <w:p>
      <w:pPr>
        <w:autoSpaceDE w:val="0"/>
        <w:autoSpaceDN w:val="0"/>
        <w:adjustRightInd w:val="0"/>
        <w:spacing w:line="600" w:lineRule="exact"/>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受疫情影响，2022年市政府办公厅未安排因公出国（境）任务，也未发生因公出国（境）费用。因此，2023年决算数较上年增加因公出国（境）费用支出。</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20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260,000.00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258,996.50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1,003.50</w:t>
      </w:r>
      <w:r>
        <w:rPr>
          <w:rFonts w:hint="eastAsia" w:ascii="Times New Roman" w:hAnsi="Times New Roman" w:eastAsia="仿宋_GB2312" w:cs="仿宋_GB2312"/>
          <w:kern w:val="0"/>
          <w:sz w:val="30"/>
          <w:szCs w:val="30"/>
        </w:rPr>
        <w:t>元，完成预算的99.61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54,518.04元，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26.66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厉行节约，严控公务用车运行维护费支出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疫情过后，接待使用车辆次数增加，公务用车运行维护费相应增长。</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260,000.00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258,996.50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1,003.50</w:t>
      </w:r>
      <w:r>
        <w:rPr>
          <w:rFonts w:hint="eastAsia" w:ascii="Times New Roman" w:hAnsi="Times New Roman" w:eastAsia="仿宋_GB2312" w:cs="仿宋_GB2312"/>
          <w:kern w:val="0"/>
          <w:sz w:val="30"/>
          <w:szCs w:val="30"/>
        </w:rPr>
        <w:t>元，完成预算的99.61</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54,518.04元，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26.66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厉行节约，严控公务用车运行维护费支出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疫情过后，接待使用车辆次数增加，公务用车运行维护费相应增长。</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20</w:t>
      </w:r>
      <w:r>
        <w:rPr>
          <w:rFonts w:hint="eastAsia" w:ascii="Times New Roman" w:hAnsi="Times New Roman" w:eastAsia="仿宋_GB2312" w:cs="仿宋_GB2312"/>
          <w:kern w:val="0"/>
          <w:sz w:val="30"/>
          <w:szCs w:val="30"/>
        </w:rPr>
        <w:t>辆，</w:t>
      </w:r>
      <w:r>
        <w:rPr>
          <w:rFonts w:ascii="Times New Roman" w:hAnsi="Times New Roman" w:eastAsia="仿宋_GB2312" w:cs="仿宋_GB2312"/>
          <w:kern w:val="0"/>
          <w:sz w:val="30"/>
          <w:szCs w:val="30"/>
        </w:rPr>
        <w:t>所使用的公务用车</w:t>
      </w:r>
      <w:r>
        <w:rPr>
          <w:rFonts w:hint="eastAsia" w:ascii="Times New Roman" w:hAnsi="Times New Roman" w:eastAsia="仿宋_GB2312" w:cs="仿宋_GB2312"/>
          <w:kern w:val="0"/>
          <w:sz w:val="30"/>
          <w:szCs w:val="30"/>
        </w:rPr>
        <w:t>20辆</w:t>
      </w:r>
      <w:r>
        <w:rPr>
          <w:rFonts w:ascii="Times New Roman" w:hAnsi="Times New Roman" w:eastAsia="仿宋_GB2312" w:cs="仿宋_GB2312"/>
          <w:kern w:val="0"/>
          <w:sz w:val="30"/>
          <w:szCs w:val="30"/>
        </w:rPr>
        <w:t>全部为天津市机关事务管理局所有，由市政府驻京办使用。</w:t>
      </w:r>
      <w:r>
        <w:rPr>
          <w:rFonts w:hint="eastAsia" w:ascii="Times New Roman" w:hAnsi="Times New Roman" w:eastAsia="仿宋_GB2312" w:cs="仿宋_GB2312"/>
          <w:kern w:val="0"/>
          <w:sz w:val="30"/>
          <w:szCs w:val="30"/>
        </w:rPr>
        <w:t xml:space="preserve"> </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预算数，且与上年数持平的主要原因是：</w:t>
      </w:r>
      <w:r>
        <w:rPr>
          <w:rFonts w:hint="eastAsia" w:ascii="Times New Roman" w:hAnsi="Times New Roman" w:eastAsia="仿宋_GB2312" w:cs="仿宋_GB2312"/>
          <w:sz w:val="30"/>
          <w:szCs w:val="30"/>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236,000.00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208,937.89</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27,062.11</w:t>
      </w:r>
      <w:r>
        <w:rPr>
          <w:rFonts w:hint="eastAsia" w:ascii="Times New Roman" w:hAnsi="Times New Roman" w:eastAsia="仿宋_GB2312" w:cs="仿宋_GB2312"/>
          <w:kern w:val="0"/>
          <w:sz w:val="30"/>
          <w:szCs w:val="30"/>
        </w:rPr>
        <w:t>元，完成预算的88.53</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6,483.67元，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3.2</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严格落实中央八项规定，严控公务接待费支出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疫情过后，接待任务有所增加。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1560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8716</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天津市人民政府办公厅</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9,708,928.42</w:t>
      </w:r>
      <w:r>
        <w:rPr>
          <w:rFonts w:hint="eastAsia" w:ascii="Times New Roman" w:hAnsi="Times New Roman" w:eastAsia="仿宋_GB2312" w:cs="仿宋_GB2312"/>
          <w:kern w:val="0"/>
          <w:sz w:val="30"/>
          <w:szCs w:val="30"/>
        </w:rPr>
        <w:t>元，比2022年</w:t>
      </w:r>
      <w:r>
        <w:rPr>
          <w:rFonts w:hint="eastAsia" w:ascii="Times New Roman" w:hAnsi="Times New Roman" w:eastAsia="仿宋_GB2312" w:cs="仿宋_GB2312"/>
          <w:sz w:val="30"/>
          <w:szCs w:val="30"/>
        </w:rPr>
        <w:t>按可比口径计算增加657,357.77元，增长7.26%</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rPr>
        <w:t>主要原因是疫情过后，2023年市政府办公厅深入贯彻落实二十大精神，坚决落实市委市政府“十项行动”，在安排出访任务等方面，增加了经费支出。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spacing w:line="600" w:lineRule="exact"/>
        <w:ind w:firstLine="600"/>
        <w:rPr>
          <w:rFonts w:ascii="Times New Roman" w:hAnsi="Times New Roman" w:eastAsia="仿宋_GB2312"/>
          <w:sz w:val="30"/>
          <w:szCs w:val="24"/>
          <w:highlight w:val="white"/>
        </w:rPr>
      </w:pPr>
      <w:r>
        <w:rPr>
          <w:rFonts w:hint="eastAsia" w:ascii="Times New Roman" w:hAnsi="Times New Roman" w:eastAsia="仿宋_GB2312"/>
          <w:color w:val="000000"/>
          <w:sz w:val="30"/>
          <w:szCs w:val="24"/>
        </w:rPr>
        <w:t>天津市人民政府办公厅</w:t>
      </w:r>
      <w:r>
        <w:rPr>
          <w:rFonts w:ascii="Times New Roman" w:hAnsi="Times New Roman" w:eastAsia="宋体"/>
          <w:color w:val="000000"/>
          <w:sz w:val="30"/>
          <w:szCs w:val="24"/>
        </w:rPr>
        <w:t>202</w:t>
      </w:r>
      <w:r>
        <w:rPr>
          <w:rFonts w:hint="eastAsia" w:ascii="Times New Roman" w:hAnsi="Times New Roman" w:eastAsia="宋体"/>
          <w:color w:val="000000"/>
          <w:sz w:val="30"/>
          <w:szCs w:val="24"/>
        </w:rPr>
        <w:t>3</w:t>
      </w:r>
      <w:r>
        <w:rPr>
          <w:rFonts w:hint="eastAsia" w:ascii="Times New Roman" w:hAnsi="Times New Roman" w:eastAsia="仿宋_GB2312"/>
          <w:color w:val="000000"/>
          <w:sz w:val="30"/>
          <w:szCs w:val="24"/>
        </w:rPr>
        <w:t>年</w:t>
      </w:r>
      <w:r>
        <w:rPr>
          <w:rFonts w:hint="eastAsia" w:ascii="Times New Roman" w:hAnsi="Times New Roman" w:eastAsia="仿宋_GB2312"/>
          <w:sz w:val="30"/>
          <w:szCs w:val="24"/>
        </w:rPr>
        <w:t>政府</w:t>
      </w:r>
      <w:r>
        <w:rPr>
          <w:rFonts w:hint="eastAsia" w:ascii="Times New Roman" w:hAnsi="Times New Roman" w:eastAsia="仿宋_GB2312"/>
          <w:color w:val="000000"/>
          <w:sz w:val="30"/>
          <w:szCs w:val="24"/>
        </w:rPr>
        <w:t>采购支出总额</w:t>
      </w:r>
      <w:r>
        <w:rPr>
          <w:rFonts w:hint="eastAsia" w:ascii="Times New Roman" w:hAnsi="Times New Roman" w:eastAsia="仿宋_GB2312"/>
          <w:sz w:val="30"/>
          <w:szCs w:val="24"/>
        </w:rPr>
        <w:t>3,452,622.82</w:t>
      </w:r>
      <w:r>
        <w:rPr>
          <w:rFonts w:hint="eastAsia" w:ascii="Times New Roman" w:hAnsi="Times New Roman" w:eastAsia="仿宋_GB2312"/>
          <w:color w:val="000000"/>
          <w:sz w:val="30"/>
          <w:szCs w:val="24"/>
        </w:rPr>
        <w:t>元，其中：政府采购货物支出</w:t>
      </w:r>
      <w:r>
        <w:rPr>
          <w:rFonts w:hint="eastAsia" w:ascii="Times New Roman" w:hAnsi="Times New Roman" w:eastAsia="仿宋_GB2312"/>
          <w:sz w:val="30"/>
          <w:szCs w:val="24"/>
        </w:rPr>
        <w:t>552,466.00</w:t>
      </w:r>
      <w:r>
        <w:rPr>
          <w:rFonts w:hint="eastAsia" w:ascii="Times New Roman" w:hAnsi="Times New Roman" w:eastAsia="仿宋_GB2312"/>
          <w:color w:val="000000"/>
          <w:sz w:val="30"/>
          <w:szCs w:val="24"/>
        </w:rPr>
        <w:t>元、政府采购工程支出</w:t>
      </w:r>
      <w:r>
        <w:rPr>
          <w:rFonts w:hint="eastAsia" w:ascii="Times New Roman" w:hAnsi="Times New Roman" w:eastAsia="仿宋_GB2312"/>
          <w:sz w:val="30"/>
          <w:szCs w:val="24"/>
        </w:rPr>
        <w:t>1,384,156.82</w:t>
      </w:r>
      <w:r>
        <w:rPr>
          <w:rFonts w:hint="eastAsia" w:ascii="Times New Roman" w:hAnsi="Times New Roman" w:eastAsia="仿宋_GB2312"/>
          <w:color w:val="000000"/>
          <w:sz w:val="30"/>
          <w:szCs w:val="24"/>
        </w:rPr>
        <w:t>元、政府采购服务支出</w:t>
      </w:r>
      <w:r>
        <w:rPr>
          <w:rFonts w:ascii="Times New Roman" w:hAnsi="Times New Roman" w:eastAsia="仿宋_GB2312"/>
          <w:sz w:val="30"/>
          <w:szCs w:val="24"/>
        </w:rPr>
        <w:t>1,</w:t>
      </w:r>
      <w:r>
        <w:rPr>
          <w:rFonts w:hint="eastAsia" w:ascii="Times New Roman" w:hAnsi="Times New Roman" w:eastAsia="仿宋_GB2312"/>
          <w:sz w:val="30"/>
          <w:szCs w:val="24"/>
        </w:rPr>
        <w:t>516</w:t>
      </w:r>
      <w:r>
        <w:rPr>
          <w:rFonts w:ascii="Times New Roman" w:hAnsi="Times New Roman" w:eastAsia="仿宋_GB2312"/>
          <w:sz w:val="30"/>
          <w:szCs w:val="24"/>
        </w:rPr>
        <w:t>,</w:t>
      </w:r>
      <w:r>
        <w:rPr>
          <w:rFonts w:hint="eastAsia" w:ascii="Times New Roman" w:hAnsi="Times New Roman" w:eastAsia="仿宋_GB2312"/>
          <w:sz w:val="30"/>
          <w:szCs w:val="24"/>
        </w:rPr>
        <w:t>000</w:t>
      </w:r>
      <w:r>
        <w:rPr>
          <w:rFonts w:ascii="Times New Roman" w:hAnsi="Times New Roman" w:eastAsia="仿宋_GB2312"/>
          <w:sz w:val="30"/>
          <w:szCs w:val="24"/>
        </w:rPr>
        <w:t>.00</w:t>
      </w:r>
      <w:r>
        <w:rPr>
          <w:rFonts w:hint="eastAsia" w:ascii="Times New Roman" w:hAnsi="Times New Roman" w:eastAsia="仿宋_GB2312"/>
          <w:color w:val="000000"/>
          <w:sz w:val="30"/>
          <w:szCs w:val="24"/>
        </w:rPr>
        <w:t>元。授予中小企业合同金额</w:t>
      </w:r>
      <w:r>
        <w:rPr>
          <w:rFonts w:hint="eastAsia" w:ascii="Times New Roman" w:hAnsi="Times New Roman" w:eastAsia="仿宋_GB2312"/>
          <w:sz w:val="30"/>
          <w:szCs w:val="24"/>
        </w:rPr>
        <w:t>3,452,622.82</w:t>
      </w:r>
      <w:r>
        <w:rPr>
          <w:rFonts w:hint="eastAsia" w:ascii="Times New Roman" w:hAnsi="Times New Roman" w:eastAsia="仿宋_GB2312"/>
          <w:color w:val="000000"/>
          <w:sz w:val="30"/>
          <w:szCs w:val="24"/>
        </w:rPr>
        <w:t>元，占政府采购支出总额的</w:t>
      </w:r>
      <w:r>
        <w:rPr>
          <w:rFonts w:ascii="Times New Roman" w:hAnsi="Times New Roman" w:eastAsia="仿宋_GB2312"/>
          <w:sz w:val="30"/>
          <w:szCs w:val="24"/>
        </w:rPr>
        <w:t>100</w:t>
      </w:r>
      <w:r>
        <w:rPr>
          <w:rFonts w:ascii="Times New Roman" w:hAnsi="Times New Roman" w:eastAsia="仿宋_GB2312"/>
          <w:color w:val="000000"/>
          <w:sz w:val="30"/>
          <w:szCs w:val="24"/>
        </w:rPr>
        <w:t>%</w:t>
      </w:r>
      <w:r>
        <w:rPr>
          <w:rFonts w:hint="eastAsia" w:ascii="Times New Roman" w:hAnsi="Times New Roman" w:eastAsia="仿宋_GB2312"/>
          <w:color w:val="000000"/>
          <w:sz w:val="30"/>
          <w:szCs w:val="24"/>
        </w:rPr>
        <w:t>，其中：授予小微企业合同金额</w:t>
      </w:r>
      <w:r>
        <w:rPr>
          <w:rFonts w:hint="eastAsia" w:ascii="Times New Roman" w:hAnsi="Times New Roman" w:eastAsia="仿宋_GB2312"/>
          <w:sz w:val="30"/>
          <w:szCs w:val="24"/>
        </w:rPr>
        <w:t>3,452,622.82</w:t>
      </w:r>
      <w:r>
        <w:rPr>
          <w:rFonts w:hint="eastAsia" w:ascii="Times New Roman" w:hAnsi="Times New Roman" w:eastAsia="仿宋_GB2312"/>
          <w:color w:val="000000"/>
          <w:sz w:val="30"/>
          <w:szCs w:val="24"/>
        </w:rPr>
        <w:t>元，占政府采购支出总额的</w:t>
      </w:r>
      <w:r>
        <w:rPr>
          <w:rFonts w:ascii="Times New Roman" w:hAnsi="Times New Roman" w:eastAsia="仿宋_GB2312"/>
          <w:sz w:val="30"/>
          <w:szCs w:val="24"/>
        </w:rPr>
        <w:t>100</w:t>
      </w:r>
      <w:r>
        <w:rPr>
          <w:rFonts w:ascii="Times New Roman" w:hAnsi="Times New Roman" w:eastAsia="仿宋_GB2312"/>
          <w:color w:val="000000"/>
          <w:sz w:val="30"/>
          <w:szCs w:val="24"/>
        </w:rPr>
        <w:t>%</w:t>
      </w:r>
      <w:r>
        <w:rPr>
          <w:rFonts w:hint="eastAsia" w:ascii="Times New Roman" w:hAnsi="Times New Roman" w:eastAsia="仿宋_GB2312"/>
          <w:color w:val="000000"/>
          <w:sz w:val="30"/>
          <w:szCs w:val="24"/>
        </w:rPr>
        <w:t>；</w:t>
      </w:r>
      <w:r>
        <w:rPr>
          <w:rFonts w:hint="eastAsia" w:ascii="Times New Roman" w:hAnsi="Times New Roman" w:eastAsia="仿宋_GB2312"/>
          <w:sz w:val="30"/>
          <w:szCs w:val="24"/>
          <w:highlight w:val="white"/>
        </w:rPr>
        <w:t>货物采购授予中小企业合同金额占货物支出金额的</w:t>
      </w:r>
      <w:r>
        <w:rPr>
          <w:rFonts w:ascii="Times New Roman" w:hAnsi="Times New Roman" w:eastAsia="仿宋_GB2312"/>
          <w:sz w:val="30"/>
          <w:szCs w:val="24"/>
          <w:highlight w:val="white"/>
        </w:rPr>
        <w:t>100%</w:t>
      </w:r>
      <w:r>
        <w:rPr>
          <w:rFonts w:hint="eastAsia" w:ascii="Times New Roman" w:hAnsi="Times New Roman" w:eastAsia="仿宋_GB2312"/>
          <w:sz w:val="30"/>
          <w:szCs w:val="24"/>
          <w:highlight w:val="white"/>
        </w:rPr>
        <w:t>，工程采购授予中小企业合同金额占工程支出金额的</w:t>
      </w:r>
      <w:r>
        <w:rPr>
          <w:rFonts w:ascii="Times New Roman" w:hAnsi="Times New Roman" w:eastAsia="仿宋_GB2312"/>
          <w:sz w:val="30"/>
          <w:szCs w:val="24"/>
          <w:highlight w:val="white"/>
        </w:rPr>
        <w:t>100%</w:t>
      </w:r>
      <w:r>
        <w:rPr>
          <w:rFonts w:hint="eastAsia" w:ascii="Times New Roman" w:hAnsi="Times New Roman" w:eastAsia="仿宋_GB2312"/>
          <w:sz w:val="30"/>
          <w:szCs w:val="24"/>
          <w:highlight w:val="white"/>
        </w:rPr>
        <w:t>，服务采购授予中小企业合同金额占服务支出金额的</w:t>
      </w:r>
      <w:r>
        <w:rPr>
          <w:rFonts w:ascii="Times New Roman" w:hAnsi="Times New Roman" w:eastAsia="仿宋_GB2312"/>
          <w:sz w:val="30"/>
          <w:szCs w:val="24"/>
          <w:highlight w:val="white"/>
        </w:rPr>
        <w:t>100%</w:t>
      </w:r>
      <w:r>
        <w:rPr>
          <w:rFonts w:hint="eastAsia" w:ascii="Times New Roman" w:hAnsi="Times New Roman" w:eastAsia="仿宋_GB2312"/>
          <w:sz w:val="30"/>
          <w:szCs w:val="24"/>
          <w:highlight w:val="white"/>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720"/>
        <w:jc w:val="left"/>
        <w:rPr>
          <w:rFonts w:ascii="Times New Roman" w:hAnsi="Times New Roman" w:eastAsia="仿宋_GB2312" w:cs="Times New Roman"/>
          <w:color w:val="000000"/>
          <w:kern w:val="0"/>
          <w:sz w:val="30"/>
          <w:szCs w:val="30"/>
        </w:rPr>
      </w:pPr>
      <w:r>
        <w:rPr>
          <w:rFonts w:hint="eastAsia" w:ascii="Times New Roman" w:hAnsi="Times New Roman" w:eastAsia="仿宋_GB2312" w:cs="仿宋_GB2312"/>
          <w:color w:val="000000"/>
          <w:kern w:val="0"/>
          <w:sz w:val="30"/>
          <w:szCs w:val="30"/>
        </w:rPr>
        <w:t>截至</w:t>
      </w:r>
      <w:r>
        <w:rPr>
          <w:rFonts w:ascii="Times New Roman" w:hAnsi="Times New Roman" w:eastAsia="宋体" w:cs="宋体"/>
          <w:color w:val="000000"/>
          <w:kern w:val="0"/>
          <w:sz w:val="30"/>
          <w:szCs w:val="30"/>
        </w:rPr>
        <w:t>202</w:t>
      </w:r>
      <w:r>
        <w:rPr>
          <w:rFonts w:hint="eastAsia" w:ascii="Times New Roman" w:hAnsi="Times New Roman" w:eastAsia="宋体" w:cs="宋体"/>
          <w:color w:val="000000"/>
          <w:kern w:val="0"/>
          <w:sz w:val="30"/>
          <w:szCs w:val="30"/>
        </w:rPr>
        <w:t>3</w:t>
      </w:r>
      <w:r>
        <w:rPr>
          <w:rFonts w:hint="eastAsia" w:ascii="Times New Roman" w:hAnsi="Times New Roman" w:eastAsia="仿宋_GB2312" w:cs="仿宋_GB2312"/>
          <w:color w:val="000000"/>
          <w:kern w:val="0"/>
          <w:sz w:val="30"/>
          <w:szCs w:val="30"/>
        </w:rPr>
        <w:t>年</w:t>
      </w:r>
      <w:r>
        <w:rPr>
          <w:rFonts w:ascii="Times New Roman" w:hAnsi="Times New Roman" w:eastAsia="仿宋_GB2312" w:cs="Times New Roman"/>
          <w:color w:val="000000"/>
          <w:kern w:val="0"/>
          <w:sz w:val="30"/>
          <w:szCs w:val="30"/>
        </w:rPr>
        <w:t>12</w:t>
      </w:r>
      <w:r>
        <w:rPr>
          <w:rFonts w:hint="eastAsia" w:ascii="Times New Roman" w:hAnsi="Times New Roman" w:eastAsia="仿宋_GB2312" w:cs="仿宋_GB2312"/>
          <w:color w:val="000000"/>
          <w:kern w:val="0"/>
          <w:sz w:val="30"/>
          <w:szCs w:val="30"/>
        </w:rPr>
        <w:t>月</w:t>
      </w:r>
      <w:r>
        <w:rPr>
          <w:rFonts w:ascii="Times New Roman" w:hAnsi="Times New Roman" w:eastAsia="仿宋_GB2312" w:cs="Times New Roman"/>
          <w:color w:val="000000"/>
          <w:kern w:val="0"/>
          <w:sz w:val="30"/>
          <w:szCs w:val="30"/>
        </w:rPr>
        <w:t>31</w:t>
      </w:r>
      <w:r>
        <w:rPr>
          <w:rFonts w:hint="eastAsia" w:ascii="Times New Roman" w:hAnsi="Times New Roman" w:eastAsia="仿宋_GB2312" w:cs="仿宋_GB2312"/>
          <w:color w:val="000000"/>
          <w:kern w:val="0"/>
          <w:sz w:val="30"/>
          <w:szCs w:val="30"/>
        </w:rPr>
        <w:t>日，</w:t>
      </w:r>
      <w:r>
        <w:rPr>
          <w:rFonts w:hint="eastAsia" w:ascii="Times New Roman" w:hAnsi="Times New Roman" w:eastAsia="仿宋_GB2312" w:cs="仿宋_GB2312"/>
          <w:sz w:val="30"/>
          <w:szCs w:val="30"/>
        </w:rPr>
        <w:t>天津市人民政府办公厅无车辆。</w:t>
      </w:r>
      <w:r>
        <w:rPr>
          <w:rFonts w:hint="eastAsia" w:ascii="Times New Roman" w:hAnsi="Times New Roman" w:eastAsia="仿宋_GB2312" w:cs="仿宋_GB2312"/>
          <w:kern w:val="0"/>
          <w:sz w:val="30"/>
          <w:szCs w:val="30"/>
        </w:rPr>
        <w:t>单价</w:t>
      </w:r>
      <w:r>
        <w:rPr>
          <w:rFonts w:ascii="Times New Roman" w:hAnsi="Times New Roman" w:eastAsia="仿宋_GB2312" w:cs="仿宋_GB2312"/>
          <w:kern w:val="0"/>
          <w:sz w:val="30"/>
          <w:szCs w:val="30"/>
        </w:rPr>
        <w:t>100</w:t>
      </w:r>
      <w:r>
        <w:rPr>
          <w:rFonts w:hint="eastAsia" w:ascii="Times New Roman" w:hAnsi="Times New Roman" w:eastAsia="仿宋_GB2312" w:cs="仿宋_GB2312"/>
          <w:kern w:val="0"/>
          <w:sz w:val="30"/>
          <w:szCs w:val="30"/>
        </w:rPr>
        <w:t>万元以上的设备</w:t>
      </w:r>
      <w:r>
        <w:rPr>
          <w:rFonts w:hint="eastAsia" w:ascii="Times New Roman" w:hAnsi="Times New Roman" w:eastAsia="仿宋_GB2312" w:cs="Times New Roman"/>
          <w:kern w:val="0"/>
          <w:sz w:val="30"/>
          <w:szCs w:val="30"/>
        </w:rPr>
        <w:t>9</w:t>
      </w:r>
      <w:r>
        <w:rPr>
          <w:rFonts w:hint="eastAsia" w:ascii="Times New Roman" w:hAnsi="Times New Roman" w:eastAsia="仿宋_GB2312" w:cs="仿宋_GB2312"/>
          <w:kern w:val="0"/>
          <w:sz w:val="30"/>
          <w:szCs w:val="30"/>
        </w:rPr>
        <w:t>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根据预算绩效管理要求，天津市人民政府办公厅2023年度已对14个市级项目开展绩效自评，涉及金额35,130,829.40元，自评结果已随部门决算一并公开；本部门2023年度已对2个项目开展部门评价，涉及金额7,300,000元。</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天津市人民政府办公厅不属于乡、镇、街级单位，不涉及公开2023年度教育、医疗卫生、社会保障和就业、住房保障、涉农补贴等民生支出情况。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A29C1"/>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96122"/>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B0D0B"/>
    <w:rsid w:val="009D74D7"/>
    <w:rsid w:val="00A57AE7"/>
    <w:rsid w:val="00AF71AE"/>
    <w:rsid w:val="00B33C70"/>
    <w:rsid w:val="00B751FA"/>
    <w:rsid w:val="00B75228"/>
    <w:rsid w:val="00B811F1"/>
    <w:rsid w:val="00B81B9F"/>
    <w:rsid w:val="00BC763A"/>
    <w:rsid w:val="00BC7D6F"/>
    <w:rsid w:val="00BD3CAC"/>
    <w:rsid w:val="00BF697A"/>
    <w:rsid w:val="00C1489D"/>
    <w:rsid w:val="00C17250"/>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2FA6A7D"/>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D9568C"/>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73671C8"/>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autoRedefine/>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autoRedefine/>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autoRedefine/>
    <w:unhideWhenUsed/>
    <w:qFormat/>
    <w:uiPriority w:val="99"/>
    <w:pPr>
      <w:tabs>
        <w:tab w:val="center" w:pos="4153"/>
        <w:tab w:val="right" w:pos="8306"/>
      </w:tabs>
      <w:snapToGrid w:val="0"/>
      <w:jc w:val="left"/>
    </w:pPr>
    <w:rPr>
      <w:sz w:val="18"/>
      <w:szCs w:val="18"/>
    </w:rPr>
  </w:style>
  <w:style w:type="paragraph" w:styleId="6">
    <w:name w:val="header"/>
    <w:basedOn w:val="1"/>
    <w:link w:val="11"/>
    <w:autoRedefine/>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autoRedefine/>
    <w:qFormat/>
    <w:uiPriority w:val="99"/>
    <w:rPr>
      <w:rFonts w:ascii="方正小标宋简体" w:eastAsia="方正小标宋简体"/>
      <w:kern w:val="0"/>
      <w:sz w:val="24"/>
      <w:szCs w:val="24"/>
    </w:rPr>
  </w:style>
  <w:style w:type="character" w:customStyle="1" w:styleId="10">
    <w:name w:val="标题 2 Char"/>
    <w:basedOn w:val="8"/>
    <w:link w:val="3"/>
    <w:autoRedefine/>
    <w:qFormat/>
    <w:uiPriority w:val="99"/>
    <w:rPr>
      <w:rFonts w:ascii="方正小标宋简体" w:eastAsia="方正小标宋简体"/>
      <w:kern w:val="0"/>
      <w:sz w:val="24"/>
      <w:szCs w:val="24"/>
    </w:rPr>
  </w:style>
  <w:style w:type="character" w:customStyle="1" w:styleId="11">
    <w:name w:val="页眉 Char"/>
    <w:basedOn w:val="8"/>
    <w:link w:val="6"/>
    <w:autoRedefine/>
    <w:qFormat/>
    <w:uiPriority w:val="99"/>
    <w:rPr>
      <w:sz w:val="18"/>
      <w:szCs w:val="18"/>
    </w:rPr>
  </w:style>
  <w:style w:type="character" w:customStyle="1" w:styleId="12">
    <w:name w:val="页脚 Char"/>
    <w:basedOn w:val="8"/>
    <w:link w:val="5"/>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1152</Words>
  <Characters>6570</Characters>
  <Lines>54</Lines>
  <Paragraphs>15</Paragraphs>
  <TotalTime>7</TotalTime>
  <ScaleCrop>false</ScaleCrop>
  <LinksUpToDate>false</LinksUpToDate>
  <CharactersWithSpaces>7707</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Dell</cp:lastModifiedBy>
  <dcterms:modified xsi:type="dcterms:W3CDTF">2024-08-21T07:49:40Z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4CBD57B0EF2E40558C905CA0F6D8A30B_13</vt:lpwstr>
  </property>
</Properties>
</file>