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的主要职责是深入贯彻习近平新时代中国特色社会主义思想，深入贯彻党的路线方针政策和部署，统一全市检察机关思想和行动，坚持党对检察工作的绝对领导，坚决维护习近平总书记的核心地位，坚决维护党中央权威和集中统一领导。依法向天津市人民代表大会及其常务委员会提出议案，向天津市人民代表大会常务委员会提出地方性法规等是否符合宪法和法律进行审查的要求；领导全市各级人民检察院的工作。按照市委和最高人民检察院确定的工作方针，研究和部署本市检察工作任务，对下级人民检察院相关业务进行指导；依照法律规定对由天津市人民检察院直接受理的刑事案件行使侦查权，领导全市各级人民检察院开展对依照法律规定由人民检察院直接受理的刑事案件的侦查工作；对全市重大刑事案件依法审查批准逮捕、决定逮捕、提起公诉，领导全市各级人民检察院开展对刑事犯罪案件的批准逮捕、决定逮捕、提起公诉工作；负责应由天津市人民检察院承办的刑事、民事、行政诉讼活动及判决和裁定等生效法律文书执行的法律监督工作，领导下级人民检察院对刑事、民事、行政诉讼活动及判决和裁定等生效法律文书执行的法律监督工作；负责应由天津市人民检察院承办的提起公益诉讼工作，领导下级人民检察院开展提起公益诉讼工作；对下级人民检察院报请核准追诉的案件进行审查、决定是否追诉；负责应由天津市人民检察院承办的对监狱、看守所等执法活动的法律监督工作，领导下级人民检察院开展对监狱、看守所等执法活动的法律监督工作；受理向天津市人民检察院的控告申诉，领导下级人民检察院的控告申诉检察工作；对下级人民检察院行使检察权中作出的决定进行审查，纠正错误决定；指导全市检察机关的理论研究工作；负责检察机关队伍建设和思想政治工作。领导全市各级人民检察院依法管理检察官及其他检察人员的工作，协同市委主管部门管理人民检察院的机构设置及人员编制，制定相关人员管理办法，组织领导检察机关教育培训工作；协同市委主管部门管理和考核全市各区人民检察院的检察长，协同各区党委管理和考核区检察院的副检察长；领导全市各级人民检察院的检务督察工作；指导全市检察机关的财务装备工作和检察技术信息工作；负责其他应当由天津市人民检察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天津市人民检察院内设16个职能处室；下辖1个预算单位。纳入天津市人民检察院2023年度部门决算编制范围的单位包括：</w:t>
      </w:r>
    </w:p>
    <w:p>
      <w:pPr>
        <w:pStyle w:val="13"/>
        <w:numPr>
          <w:ilvl w:val="0"/>
          <w:numId w:val="1"/>
        </w:numPr>
        <w:autoSpaceDE w:val="0"/>
        <w:autoSpaceDN w:val="0"/>
        <w:adjustRightInd w:val="0"/>
        <w:spacing w:line="600" w:lineRule="exact"/>
        <w:ind w:firstLine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天津市人民检察院(本级)</w:t>
      </w:r>
    </w:p>
    <w:p>
      <w:pPr>
        <w:pStyle w:val="13"/>
        <w:numPr>
          <w:ilvl w:val="0"/>
          <w:numId w:val="1"/>
        </w:numPr>
        <w:autoSpaceDE w:val="0"/>
        <w:autoSpaceDN w:val="0"/>
        <w:adjustRightInd w:val="0"/>
        <w:spacing w:line="600" w:lineRule="exact"/>
        <w:ind w:firstLine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天津市检察官学院</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1.天津市人民检察院2023年度政府性基金预算财政拨款收入支出决算表为空表。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天津市人民检察院2023年度收入、支出决算总计</w:t>
      </w:r>
      <w:r>
        <w:rPr>
          <w:rFonts w:hint="eastAsia" w:ascii="Times New Roman" w:hAnsi="Times New Roman" w:eastAsia="仿宋_GB2312" w:cs="仿宋_GB2312"/>
          <w:sz w:val="30"/>
          <w:szCs w:val="30"/>
        </w:rPr>
        <w:t>195,977,432.44元，与2022年度相比，收、支总计各增加5,353,834.06元，增长2.81%，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：人员经费和项目经费增加。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182,260,203.52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年度相比增加1,343,122.12元，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：人员经费和项目经费增加。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179,152,116.82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98.29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3,108,086.70元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1.71%。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年度本年支出合计193,998,076.03元，与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年度相比增加8,102,979.74元，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人员经费支出和项目经费支出增加。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138,861,928.06元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占71.58%；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55,136,147.97元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占28.42%。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179,152,116.82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年度相比，财政拨款收、支总计各增加4,024,047.36元，增长2.30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人员经费和项目经费增加。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计179,152,116.82元，占本年支出合计的92.35%，与2022年度相比，一般公共预算财政拨款支出增加4,058,783.66元，增长2.32%，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：人员经费支出和项目经费支出增加。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179,152,116.82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公共安全支出157,895,373.98元，占88.13%；教育支出4,192,874.93元，占2.34%；社会保障和就业支出11,143,221.44元，占6.22%；卫生健康支出5,920,646.47元，占3.31%。</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158,063,000.00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179,152,116.82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113.34%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公共安全支出（类）检察（款）行政运行（项）年初预算为102,696,000.00元，支出决算为116,181,881.99元，完成年初预算的113.13%，决算数大于年初预算数的主要原因是年中追加预算资金。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公共安全支出（类）检察（款）检察监督（项）年初预算为6,611,000.00元，支出决算为6,282,340.00元，完成年初预算的95.03%，决算数小于年初预算数的主要原因是按实际检察业务工作开展情况列支。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3.公共安全支出（类）检察（款）其他检察支出（项）年初预算为2,724,0000.00元，支出决算为35,431,151.99元，完成年初预算的130.07%，决算数大于年初预算数的主要原因是年中追加预算资金。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教育支出（类）教育管理事务（款）其他教育管理事务支出（项）年初预算为4,382,000.00元，支出决算为4,192,874.93元，完成年初预算的95.68%，决算数小于年初预算数的主要原因是按实际检查教育工作开展情况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基本养老保险缴费支出（项）年初预算为7,446,000.00元，支出决算为7,402,480.96元，完成年初预算的99.42%，预算执行过程中人员动态调整，相关支出据实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社会保障和就业支出（类）行政事业单位养老支出（款）机关事业单位职业年金缴费支出（项）年初预算为3,723,000.00元，支出决算为3,740,740.48元，完成年初预算的100.48%，决算数大于年初预算数的主要原因是年中追加预算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行政单位医疗（项）年初预算为4,837,000.00元，支出决算为4,828,000.00元，完成年初预算的99.81%，决算数小于年初预算数的主要原因是预算执行过程中人员动态调整，相关支出据实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行政事业单位医疗（款）事业单位医疗（项）年初预算为209,000.00元，支出决算为178,678.91元，完成年初预算的85.49%，决算数小于年初预算数的主要原因是预算执行过程中人员动态调整，相关支出据实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9.卫生健康支出（类）行政事业单位医疗（款）公务员医疗补助（项）年初预算为891,000.00元，支出决算为895,000.00元，完成年初预算的100.45%，决算数大于年初预算数的主要原因是年中追加预算资金。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卫生健康支出（类）行政事业单位医疗（款）其他行政事业单位医疗支出（项）年初预算为28,000.00元，支出决算为18,967.56元，完成年初预算的67.74%，决算数小于年初预算数的主要原因是预算执行过程中动态调整，相关支出据实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137,438,624.83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年度相比增加3,625,368.35元，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119,679,726.42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17,758,898.41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咨询费、水费、电费、邮电费、取暖费、物业管理费、差旅费、维修(护)费、租赁费、会议费、培训费、公务接待费、专用材料费、劳务费、委托业务费、工会经费、福利费、公务用车运行维护费、其他交通费用、其他商品和服务支出、办公设备购置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777,000.00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576,461.55</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200,538.45</w:t>
      </w:r>
      <w:r>
        <w:rPr>
          <w:rFonts w:hint="eastAsia" w:ascii="Times New Roman" w:hAnsi="Times New Roman" w:eastAsia="仿宋_GB2312" w:cs="仿宋_GB2312"/>
          <w:kern w:val="0"/>
          <w:sz w:val="30"/>
          <w:szCs w:val="30"/>
        </w:rPr>
        <w:t>元，完成预算的74.19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22,445.41元，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本部门厉行节约，全面落实“过紧日子”要求，严控“三公”经费支出，本年度无因公出国（境）费支出。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的主要原因是：2023年度</w:t>
      </w:r>
      <w:r>
        <w:rPr>
          <w:rFonts w:hint="eastAsia" w:ascii="Times New Roman" w:hAnsi="Times New Roman" w:eastAsia="仿宋_GB2312" w:cs="仿宋_GB2312"/>
          <w:sz w:val="30"/>
          <w:szCs w:val="30"/>
        </w:rPr>
        <w:t>公务接待增加。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547,000.00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546,461.55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538.45</w:t>
      </w:r>
      <w:r>
        <w:rPr>
          <w:rFonts w:hint="eastAsia" w:ascii="Times New Roman" w:hAnsi="Times New Roman" w:eastAsia="仿宋_GB2312" w:cs="仿宋_GB2312"/>
          <w:kern w:val="0"/>
          <w:sz w:val="30"/>
          <w:szCs w:val="30"/>
        </w:rPr>
        <w:t>元，完成预算的99.9</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474.59元，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0.09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本年度强化车辆运行管理，严格公车运行维护管理。</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547,000.00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546,461.55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538.45</w:t>
      </w:r>
      <w:r>
        <w:rPr>
          <w:rFonts w:hint="eastAsia" w:ascii="Times New Roman" w:hAnsi="Times New Roman" w:eastAsia="仿宋_GB2312" w:cs="仿宋_GB2312"/>
          <w:kern w:val="0"/>
          <w:sz w:val="30"/>
          <w:szCs w:val="30"/>
        </w:rPr>
        <w:t>元，完成预算的99.9</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474.59元，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0.09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本年度强化车辆运行管理，严格公车运行维护管理。</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36</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22,920.00元，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323.73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预算数的主要原因是：合理安排公务</w:t>
      </w:r>
      <w:r>
        <w:rPr>
          <w:rFonts w:hint="eastAsia" w:ascii="Times New Roman" w:hAnsi="Times New Roman" w:eastAsia="仿宋_GB2312" w:cs="仿宋_GB2312"/>
          <w:kern w:val="0"/>
          <w:sz w:val="30"/>
          <w:szCs w:val="30"/>
          <w:lang w:eastAsia="zh-CN"/>
        </w:rPr>
        <w:t>接待费支出</w:t>
      </w:r>
      <w:r>
        <w:rPr>
          <w:rFonts w:hint="eastAsia" w:ascii="Times New Roman" w:hAnsi="Times New Roman" w:eastAsia="仿宋_GB2312" w:cs="仿宋_GB2312"/>
          <w:kern w:val="0"/>
          <w:sz w:val="30"/>
          <w:szCs w:val="30"/>
        </w:rPr>
        <w:t>，严格</w:t>
      </w:r>
      <w:r>
        <w:rPr>
          <w:rFonts w:ascii="Times New Roman" w:hAnsi="Times New Roman" w:eastAsia="仿宋_GB2312" w:cs="仿宋_GB2312"/>
          <w:kern w:val="0"/>
          <w:sz w:val="30"/>
          <w:szCs w:val="30"/>
        </w:rPr>
        <w:t>按照预算执行相关支出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本年度公务接待次数增加，其中一次为外事接待。</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26</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235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18</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16,613,518.41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年增加36,193.62元，增长0.22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按照检察业务工作开展实际情况列支。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16,283,450.13</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2,379,689.70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13,903,760.43</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6,161,478.10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37.84%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5,726,526.10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35.17%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27.20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日，天津市人民检察院共有车辆</w:t>
      </w:r>
      <w:r>
        <w:rPr>
          <w:rFonts w:hint="eastAsia" w:ascii="Times New Roman" w:hAnsi="Times New Roman" w:eastAsia="仿宋_GB2312" w:cs="Times New Roman"/>
          <w:kern w:val="0"/>
          <w:sz w:val="30"/>
          <w:szCs w:val="30"/>
        </w:rPr>
        <w:t>36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根据预算绩效管理要求，天津市人民检察院2023年度已对34个市级项目开展绩效自评，涉及金额46,387,283元，自评结果已随部门决算一并公开。本部门2023年度未开展部门评价。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50C97"/>
    <w:multiLevelType w:val="multilevel"/>
    <w:tmpl w:val="7D550C97"/>
    <w:lvl w:ilvl="0" w:tentative="0">
      <w:start w:val="1"/>
      <w:numFmt w:val="decimal"/>
      <w:lvlText w:val="%1."/>
      <w:lvlJc w:val="left"/>
      <w:pPr>
        <w:ind w:left="975" w:hanging="375"/>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16F54"/>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B531D"/>
    <w:rsid w:val="002B564C"/>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77F74"/>
    <w:rsid w:val="009820CF"/>
    <w:rsid w:val="00982A8B"/>
    <w:rsid w:val="009A7ED3"/>
    <w:rsid w:val="009D74D7"/>
    <w:rsid w:val="00A57AE7"/>
    <w:rsid w:val="00A74E0F"/>
    <w:rsid w:val="00A9790B"/>
    <w:rsid w:val="00AF71AE"/>
    <w:rsid w:val="00B33C70"/>
    <w:rsid w:val="00B75228"/>
    <w:rsid w:val="00B811F1"/>
    <w:rsid w:val="00B81B9F"/>
    <w:rsid w:val="00BA7CB1"/>
    <w:rsid w:val="00BC763A"/>
    <w:rsid w:val="00BC7D6F"/>
    <w:rsid w:val="00BD3CAC"/>
    <w:rsid w:val="00BF697A"/>
    <w:rsid w:val="00C41D87"/>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BB6DE8"/>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1007</Words>
  <Characters>5743</Characters>
  <Lines>47</Lines>
  <Paragraphs>13</Paragraphs>
  <TotalTime>30</TotalTime>
  <ScaleCrop>false</ScaleCrop>
  <LinksUpToDate>false</LinksUpToDate>
  <CharactersWithSpaces>6737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2024-08-01T07:30:00Z</dcterms:created>
  <dc:creator>office</dc:creator>
  <cp:lastModifiedBy>Dell</cp:lastModifiedBy>
  <dcterms:modified xsi:type="dcterms:W3CDTF">2024-08-16T06:02:31Z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