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天津市滨海新区人民法院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firstLineChars="2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滨海新区人民法院作为国家审判机关，按照管辖区域依法独立行使审判权，对新区人民代表大会及其常务委员会负责并报告工作。新区人民法院的审判工作受市高级人民法院和第三中级人民法院的监督，并由市第三中级人民法院负责上诉审理。其主要职责是：</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（1）依法审判由本院管辖或由上级人民法院指定管辖的刑事、民事、行政等案件。</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（2）依法审理有关申诉和申请再审案件。</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（3）依法审判由同级人民检察院按照审判监督程序提出的抗诉案件。</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（4）依法行使司法执行权和司法决定权。</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（5）依法办理本院为赔偿义务机关的国家赔偿案件。</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（6）针对案件审理中发现的问题提出司法建议。</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（7）对法官和其他工作人员进行思想政治教育，组织专业培训；按照权限管理法官和其他工作人员。</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（8）负责纪检、监察工作。</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（9）负责业务经费、物资装备的使用和管理。</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（10）承办其他应当由本院负责的工作。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天津市滨海新区人民法院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31</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天津市滨海新区人民法院2023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1.天津市滨海新区人民法院本级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1.天津市滨海新区人民法院2023年度政府性基金预算财政拨款收入支出决算表为空表。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2.天津市滨海新区人民法院2023年度国有资本经营预算财政拨款收入支出决算表为空表。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天津市滨海新区人民法院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283,706,015.87</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减少8,977,303.35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下降3.07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塘沽审判综合楼项目需严格进行竣工结算，目前未达到付款条件，故本年度预算减少；信息化整合项目2022年度已全部支付完成，故本年度预算减少；2023年区财政支持经费减少。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天津市滨海新区人民法院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283,680,397.31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减少8,813,360.35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塘沽审判综合楼项目需严格进行竣工结算，目前未达到付款条件，故本年度预算减少；信息化整合项目2022年度已全部支付完成，故本年度预算减少；2023年区财政支持经费减少。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274,962,135.50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96.93</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8,718,261.81元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3.07%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283,702,330.64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7,990,812.52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塘沽审判综合楼项目需严格进行竣工结算，目前未达到付款条件，故本年度预算减少；信息化整合项目2022年度已全部支付完成，故本年度预算减少；2023年区财政支持经费减少。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265,595,407.98元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93.62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18,106,922.66元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占6.38%。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274,987,754.06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3,037,596.22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塘沽审判综合楼项目需严格进行竣工结算，目前未达到付款条件，故本年度预算减少；信息化整合项目2022年度已全部支付完成，故本年度预算减少。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w:t>
      </w:r>
      <w:bookmarkStart w:id="0" w:name="_GoBack"/>
      <w:r>
        <w:rPr>
          <w:rFonts w:hint="eastAsia" w:ascii="Times New Roman" w:hAnsi="Times New Roman" w:eastAsia="黑体" w:cs="黑体"/>
          <w:b/>
          <w:bCs/>
          <w:kern w:val="0"/>
          <w:sz w:val="30"/>
          <w:szCs w:val="30"/>
          <w:highlight w:val="none"/>
          <w:lang w:val="zh-CN"/>
        </w:rPr>
        <w:t>一般公共预算财政拨款支出决算情况说明</w:t>
      </w:r>
    </w:p>
    <w:bookmarkEnd w:id="0"/>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天津市滨海新区人民法院2023年度部门决算一般公共预算财政拨款支出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计274,987,754.06元，占本年支出合计的96.93%，与2022年度相比，一般公共预算财政拨款支出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2,849,936.46元，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1.03%，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：塘沽审判综合楼项目需严格进行竣工结算，目前未达到付款条件，故本年度预算减少；信息化整合项目2022年度已全部支付完成，故本年度预算减少。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274,987,754.06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公共安全支出245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137.96元，占89.17%；社会保障和就业支出19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681.04元，占7.14%；卫生健康支出10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935.06元，占3.69%。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252,201,000.00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274,987,754.06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109.04%</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1.公共安全支出（类）法院（款）行政运行（项）年初预算为207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281.3元，完成年初预算的10</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45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t>，决算数大于年初预算数的主要原因是年中下达并发放了2022年度司改绩效考核奖金和2022年度绩效奖励资金，人员经费动态调整人员和公用经费调剂增加。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2.公共安全支出（类）法院（款）案件审判（项）年初预算为14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624.66元，完成年初预算的119.49%，决算数大于年初预算数的主要原因是上年结转项目资金899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900元，年中下达了中央转移支付资金，故办案业务及业务装备费增加1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000元预算支出；司法救助金增加150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000元预算支出。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公共安全支出（类）法院（款）其他法院支出（项）年初预算为0元，追加预算为1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232元，支出决算为1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232元，完成追加预算的100%，决算数等于追加预算数的主要原因是年中调增了抚恤金项目支出。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社会保障和就业支出（类）行政事业单位养老支出（款）机关事业单位基本养老保险缴费支出（项）年初预算为13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787.36元，完成年初预算的97.96%，决算数小于年初预算数的主要原因是2023年退休及调出干警较多，人员经费动态调整调剂减少相应预算支出。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社会保障和就业支出（类）行政事业单位养老支出（款）机关事业单位职业年金缴费支出（项）年初预算为6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893.68元，完成年初预算的97.96%，决算数小于年初预算数的主要原因是2023年退休及调出干警较多，人员经费动态调整调剂减少相应预算支出。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卫生健康支出（类）行政事业单位医疗（款）行政单位医疗（项）年初预算为8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961.64元，完成年初预算的97.18%，决算数小于年初预算数的主要原因是年初预算较充足，结余少量资金，2023年退休及调出干警较多，人员经费动态调整调剂减少相应预算支出。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 卫生健康支出（类）行政事业单位医疗（款）公务员医疗补助（项）年初预算为1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973.42元，完成年初预算的97.96%，决算数小于年初预算数的主要原因是年初预算较充足，结余少量资金，2023年退休及调出干警较多，人员经费动态调整调剂减少相应预算支出。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256,946,897.40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10,047,810.05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2023年案件量大幅增长。</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215,412,009.88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基本工资、津贴补贴、奖金、机关事业单位基本养老保险缴费、职业年金缴费、职工基本医疗保险缴费、公务员医疗补助缴费、其他社会保障缴费、住房公积金、其他工资福利支出、退休费、生活补助、奖励金。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41,534,887.52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办公费、水费、电费、邮电费、取暖费、物业管理费、维修(护)费、培训费、被装购置费、劳务费、工会经费、福利费、公务用车运行维护费、其他交通费用、其他商品和服务支出、办公设备购置。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天津市滨海新区人民法院2023年度无政府性基金预算财政拨款收入、支出和结转结余。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1,855,000.00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1,845,263.57</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9,736.43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99.48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150,215.77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坚持厉行节约，严格控制</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和公务接待费</w:t>
      </w:r>
      <w:r>
        <w:rPr>
          <w:rFonts w:hint="eastAsia" w:ascii="Times New Roman" w:hAnsi="Times New Roman" w:eastAsia="仿宋_GB2312" w:cs="仿宋_GB2312"/>
          <w:sz w:val="30"/>
          <w:szCs w:val="30"/>
          <w:highlight w:val="none"/>
          <w:lang w:eastAsia="zh-CN"/>
        </w:rPr>
        <w:t>开支</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车辆价格及税款调整，购置公车时费用较年初预算时减少，且未发生因公出国出境费用</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因业务量大增，办公办案需求增加，购买一辆7座商务车</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sz w:val="30"/>
          <w:szCs w:val="30"/>
          <w:highlight w:val="none"/>
          <w:lang w:eastAsia="zh-CN"/>
        </w:rPr>
        <w:t>因公出国（境）。</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1,845,000.00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1,840,776.05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4,223.95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99.77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145,728.25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车辆价格及税款调整，购置公车时费用较年初预算时减少</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因业务量大增，办公办案需求增加，购买一辆7座商务车。</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1,280,000.00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1,280,000.00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坚持厉行节约，严格控制</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开支。</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565,000.00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560,776.05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4,223.95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145,728.25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35.11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车辆价格及税款调整，购置公车时费用较年初预算时减少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因业务量大增，办公办案需求增加，购买一辆7座商务车272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188.05元，公车购置费用较上年增加。</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4,487.52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5,512.48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44.88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4,487.52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坚持厉行节约，严格控制</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2023年公务活动增加，增加接待费4487.52元，2022年受疫情影响，未安排公务接待活动。</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98</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天津市滨海新区人民法院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41,534,887.52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1,134,112.48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2.66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坚持厉行节约，严格控制经费开支。</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天津市滨海新区人民法院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19,376,285.47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3,098,557.00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16,277,728.47</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19,376,285.47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19,376,285.47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天津市滨海新区人民法院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60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60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根据预算绩效管理要求，天津市滨海新区人民法院2023年度已对5个市级项目开展绩效自评，涉及金额3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232元，自评结果已随部门决算一并公开；本部门2023年度未开展部门评价。</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2VkZDY4NjczYzgyMzEwZWE4YTNkMWI0OWYxM2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521D11"/>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AE651DA"/>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19</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2024-07-31T03:52:15Z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E0C463EF4B3E49FBBC00BC76C4E321C3_13</vt:lpwstr>
  </property>
</Properties>
</file>