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天津市西青区人民法院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天津市西青区人民法院作为国家审判机关，依法独立行使审判权，审判工作受天津市高级人民法院、天津市中级人民法院的监督、指导。其主要职责是：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1、依法审判由基层人民法院管辖或由上级人民法院指定管辖的刑事、民事、行政等一审案件。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2、受理不服本院生效裁定的各类申诉和再审申请，对其中确有错误并已经发生法律效力的判决、裁定进行再审。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3、依法审判由同级人民检察院按照审判监督程序提出的抗诉案件。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4、依法行使司法执行权和司法决定权。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5、依法决定法律赔偿。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6、针对案件审理中发现的问题提出司法建议。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7、对本院的法官和其他工作人员进行思想政治教育，组织专业培训；按照权限管理法官和其他工作人员。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 负责本院的纪检、监察工作。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 负责本院业务经费、物资装备的使用和管理。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 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天津市西青区人民法院内设20个职能处室。纳入天津市西青区人民法院2023年度部门决算编制范围的单位包括：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1.天津市西青区人民法院2023年度政府性基金预算财政拨款收入支出决算表为空表。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2.天津市西青区人民法院2023年度国有资本经营预算财政拨款收入支出决算表为空表。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天津市西青区人民法院2023年度收入、支出决算总计88,087,873.38元，与2022年度相比，收、支总计各增加7,267,891.38元，增长8.99%，主要原因是：本年度有新招录公务员，干警晋升、晋级晋档等，人员经费增加。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天津市西青区人民法院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87,730,975.40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年度相比增加7,981,633.40元，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：本年度有新招录公务员，干警晋级晋档等，人员经费收入增加。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81,774,991.01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93.21</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5,955,984.39元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6.79%。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天津市西青区人民法院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年度本年支出合计88,087,087.99元，与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年度相比增加7,624,958.19元，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本年度有新招录公务员，干警晋级晋档等，人员经费支出增加。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76,413,387.81元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占86.75%；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11,673,700.18元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占13.25%。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81,774,991.01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年度相比，财政拨款收、支总计各增加6,002,671.89元，增长7.92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本年度有新招录公务员，干警晋升、晋级晋档等，人员经费增加。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天津市西青区人民法院2023年度部门决算一般公共预算财政拨款支出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计81,774,991.01元，占本年支出合计的92.83%，与2022年度相比，一般公共预算财政拨款支出增加6,002,671.89元，增长7.92%，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：本年度有新招录公务员，干警晋升、晋级晋档等，人员经费增加。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81,774,991.01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“公共安全支出”72,839,244.08元，占比89.07%，“社会保障和就业支出”5,889,011.88元，占比7.20%，“卫生健康支出”3,046,735.05元，占比3.73%。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73,352,000.00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81,774,991.01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111.48%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公共安全支出(类)法院(款)行政运行(项)年初预算为59,415,000.00元，支出决算为67,475,934.83元，完成年初预算的113.57 %，决算数大于年初预算数的主要原因是追加晋级晋档、绩效奖金等人员经费。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2.公共安全指出(类)法院(款)案件审判(项)年初预算为4,780,000.00元，支出决算为5,363,309.25元，完成年初预算的112.2%，决算数大于年初预算数的主要原因是追加办案业务费、业务装备费。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3.社会保障和就业支出(类)行政事业单位养老支出(款)机关事业单位基本养老保险缴费支出(项)年初预算4,014,000.00元，支出决算为3,926,085.00元，完成年初预算的97.81%，决算数小于年初预算数的主要原因是2023年</w:t>
      </w:r>
      <w:r>
        <w:rPr>
          <w:rFonts w:ascii="Times New Roman" w:hAnsi="Times New Roman" w:eastAsia="仿宋_GB2312" w:cs="仿宋_GB2312"/>
          <w:sz w:val="30"/>
          <w:szCs w:val="30"/>
        </w:rPr>
        <w:t>有工作人员退休</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4.社会保障和就业支出(类)行政事业单位养老支出(款)机关事业单位职业年金缴费支出(项)年初预算2,007,000.00元，支出决算为1,962,926.88元，完成年初预算的97.8%，决算数小于年初预算数的主要原因是2023年</w:t>
      </w:r>
      <w:r>
        <w:rPr>
          <w:rFonts w:ascii="Times New Roman" w:hAnsi="Times New Roman" w:eastAsia="仿宋_GB2312" w:cs="仿宋_GB2312"/>
          <w:sz w:val="30"/>
          <w:szCs w:val="30"/>
        </w:rPr>
        <w:t>有工作人员退休</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5.卫生健康支出(类)行政事业单位医疗(款)行政单位医疗支出(项)年初预算2,634,000.00元，支出决算为2,556,003.33元，完成年初预算的97.04%，决算数小于年初预算数的主要原因是2023年</w:t>
      </w:r>
      <w:r>
        <w:rPr>
          <w:rFonts w:ascii="Times New Roman" w:hAnsi="Times New Roman" w:eastAsia="仿宋_GB2312" w:cs="仿宋_GB2312"/>
          <w:sz w:val="30"/>
          <w:szCs w:val="30"/>
        </w:rPr>
        <w:t>有工作人员退休</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6.卫生健康支出(类)行政事业单位医疗(款)公务员医疗补助(项)年初预算502,000.00元，支出决算为490,731.72元，完成年初预算的97.76%，决算数大于年初预算数的主要原因是本年度2023年</w:t>
      </w:r>
      <w:r>
        <w:rPr>
          <w:rFonts w:ascii="Times New Roman" w:hAnsi="Times New Roman" w:eastAsia="仿宋_GB2312" w:cs="仿宋_GB2312"/>
          <w:sz w:val="30"/>
          <w:szCs w:val="30"/>
        </w:rPr>
        <w:t>有工作人员退休</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天津市西青区人民法院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76,411,681.76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年度相比增加5,638,214.63元，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本年度有新招录公务员，干警晋升、晋级晋档等，人员经费增加。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67,374,591.51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9,037,090.25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办公费、手续费、水费、电费、取暖费、物业管理费、差旅费、维修（护）费、培训费、被装购置费、劳务费、工会经费、福利费、公务用车运行维护费、其他交通费、其他商品和服务支出、办公设备购置。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天津市西青区人民法院2023年度无政府性基金预算财政拨款收入、支出和结转结余。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天津市西青区人民法院2023年度无国有资本经营预算财政拨款收入、支出和结转结余。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166,000.00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元，完成预算的98.8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66,000.00元，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67.35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厉行节约，落实过紧日子思想，严控三公经费支出，</w:t>
      </w:r>
      <w:r>
        <w:rPr>
          <w:rFonts w:hint="eastAsia" w:ascii="Times New Roman" w:hAnsi="Times New Roman" w:eastAsia="仿宋_GB2312" w:cs="仿宋_GB2312"/>
          <w:sz w:val="30"/>
          <w:szCs w:val="30"/>
        </w:rPr>
        <w:t>本年度未发生公务接待费用支出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公务用车运行经费增加。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66,000.00元，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67.35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过紧日子，合理安排公务用车使用，压减公车</w:t>
      </w:r>
      <w:r>
        <w:rPr>
          <w:rFonts w:hint="eastAsia" w:ascii="Times New Roman" w:hAnsi="Times New Roman" w:eastAsia="仿宋_GB2312" w:cs="仿宋_GB2312"/>
          <w:sz w:val="30"/>
          <w:szCs w:val="30"/>
          <w:lang w:eastAsia="zh-CN"/>
        </w:rPr>
        <w:t>购置及</w:t>
      </w:r>
      <w:r>
        <w:rPr>
          <w:rFonts w:hint="eastAsia" w:ascii="Times New Roman" w:hAnsi="Times New Roman" w:eastAsia="仿宋_GB2312" w:cs="仿宋_GB2312"/>
          <w:sz w:val="30"/>
          <w:szCs w:val="30"/>
        </w:rPr>
        <w:t>运维支出，严格按照预算执行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公务用车使用年限较长，车况不佳，维修成本增加。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66,000.00元，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67.35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严格按照预算使用经费。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公务用车使用年限较长，车况不佳，维修成本增加。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天津市西青区人民法院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9,037,090.25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年增加299,504.72元，增长3.43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本年度新招录公务员，机关运行经费增加。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天津市西青区人民法院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7,492,691.32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3,652,711.00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3,839,980.32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4,852,691.32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64.77%</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4,658,042.32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62.17%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27.72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日，天津市西青区人民法院共有车辆</w:t>
      </w:r>
      <w:r>
        <w:rPr>
          <w:rFonts w:hint="eastAsia" w:ascii="Times New Roman" w:hAnsi="Times New Roman" w:eastAsia="仿宋_GB2312" w:cs="Times New Roman"/>
          <w:kern w:val="0"/>
          <w:sz w:val="30"/>
          <w:szCs w:val="30"/>
        </w:rPr>
        <w:t>18</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18</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根据预算绩效管理要求，天津市西青区人民法院2023年度已对3个市级项目开展绩效自评，涉及金额6,708,285.93元，自评结果已随部门决算一并公开。</w:t>
      </w:r>
      <w:r>
        <w:rPr>
          <w:rFonts w:hint="eastAsia" w:ascii="Times New Roman" w:hAnsi="Times New Roman" w:eastAsia="仿宋_GB2312" w:cs="仿宋_GB2312"/>
          <w:kern w:val="0"/>
          <w:sz w:val="30"/>
          <w:szCs w:val="30"/>
        </w:rPr>
        <w:t>本部门2023年度未开展</w:t>
      </w:r>
      <w:r>
        <w:rPr>
          <w:rFonts w:ascii="Times New Roman" w:hAnsi="Times New Roman" w:eastAsia="仿宋_GB2312" w:cs="仿宋_GB2312"/>
          <w:kern w:val="0"/>
          <w:sz w:val="30"/>
          <w:szCs w:val="30"/>
        </w:rPr>
        <w:t>部门</w:t>
      </w:r>
      <w:r>
        <w:rPr>
          <w:rFonts w:hint="eastAsia" w:ascii="Times New Roman" w:hAnsi="Times New Roman" w:eastAsia="仿宋_GB2312" w:cs="仿宋_GB2312"/>
          <w:kern w:val="0"/>
          <w:sz w:val="30"/>
          <w:szCs w:val="30"/>
        </w:rPr>
        <w:t>评价</w:t>
      </w:r>
      <w:r>
        <w:rPr>
          <w:rFonts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天津市西青区人民法院不属于乡、镇、街级单位，不涉及公开2023年度教育、医疗卫生、社会保障和就业、住房保障、涉农补贴等民生支出情况。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230E"/>
    <w:rsid w:val="00264B59"/>
    <w:rsid w:val="002A4997"/>
    <w:rsid w:val="002E6086"/>
    <w:rsid w:val="00302490"/>
    <w:rsid w:val="003227B2"/>
    <w:rsid w:val="003536BE"/>
    <w:rsid w:val="003B25FB"/>
    <w:rsid w:val="003D6B21"/>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431C0"/>
    <w:rsid w:val="00885126"/>
    <w:rsid w:val="0089698B"/>
    <w:rsid w:val="008D48A9"/>
    <w:rsid w:val="00941A30"/>
    <w:rsid w:val="00977DCC"/>
    <w:rsid w:val="009820CF"/>
    <w:rsid w:val="00982A8B"/>
    <w:rsid w:val="009A7ED3"/>
    <w:rsid w:val="009D0645"/>
    <w:rsid w:val="009D74D7"/>
    <w:rsid w:val="00A57AE7"/>
    <w:rsid w:val="00AF71AE"/>
    <w:rsid w:val="00B33C70"/>
    <w:rsid w:val="00B75228"/>
    <w:rsid w:val="00B811F1"/>
    <w:rsid w:val="00B81B9F"/>
    <w:rsid w:val="00BC763A"/>
    <w:rsid w:val="00BC7D6F"/>
    <w:rsid w:val="00BD3CAC"/>
    <w:rsid w:val="00BF697A"/>
    <w:rsid w:val="00C52E77"/>
    <w:rsid w:val="00C6562F"/>
    <w:rsid w:val="00C65A44"/>
    <w:rsid w:val="00C76AC3"/>
    <w:rsid w:val="00C83EB4"/>
    <w:rsid w:val="00D4505A"/>
    <w:rsid w:val="00D65B41"/>
    <w:rsid w:val="00DC3234"/>
    <w:rsid w:val="00DC3CD0"/>
    <w:rsid w:val="00DD06C9"/>
    <w:rsid w:val="00DD60B5"/>
    <w:rsid w:val="00DF15AA"/>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752D93"/>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854</Words>
  <Characters>4873</Characters>
  <Lines>40</Lines>
  <Paragraphs>11</Paragraphs>
  <TotalTime>6</TotalTime>
  <ScaleCrop>false</ScaleCrop>
  <LinksUpToDate>false</LinksUpToDate>
  <CharactersWithSpaces>5716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2024-07-30T07:02:00Z</dcterms:created>
  <dc:creator>office</dc:creator>
  <cp:lastModifiedBy>Dell</cp:lastModifiedBy>
  <dcterms:modified xsi:type="dcterms:W3CDTF">2024-08-16T07:34:12Z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