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天津市津南区人民法院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津南区人民法院作为国家审判机关，依法独立行使审判权，审判工作受天津市高级人民法院、天津市中级人民法院的监督、指导。其主要职责是：依法审判由基层人民法院管辖或由上级人民法院指定管辖的刑事、民事、行政等一审案件。受理不服本院生效裁定的各类申诉和再审申请，对其中确有错误并已经发生法律效力的判决、裁定进行再审。依法审判由同级人民检察院按照审判监督程序提出的抗诉案件。依法行使司法执行权和司法决定权。依法决定法律赔偿。针对案件审理中发现的问题提出司法建议。对本院的法官和其他工作人员进行思想政治教育，组织专业培训；按照权限管理法官和其他工作人员。负责本院的纪检、监察工作。负责本院业务经费、物资装备的使用和管理。承办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天津市津南区人民法院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17</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天津市津南区人民法院2023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1.天津市津南区人民法院部门本级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1.天津市津南区人民法院2023年度政府性基金预算财政拨款收入支出决算表为空表。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2.天津市津南区人民法院2023年度国有资本经营预算财政拨款收入支出决算表为空表。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 w:cs="仿宋"/>
          <w:kern w:val="0"/>
          <w:sz w:val="30"/>
          <w:szCs w:val="30"/>
          <w:highlight w:val="none"/>
          <w:lang w:val="zh-CN"/>
        </w:rPr>
        <w:t>天津市津南区人民法院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88,723,784.02</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增加4,512,206.63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增长5.36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新招录人员及人员晋职晋级等人员支出增加。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天津市津南区人民法院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88,723,784.02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增加4,512,206.63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新招录人员及人员晋职晋级等人员支出增加。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88,700,574.93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23,209.09元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天津市津南区人民法院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88,723,784.02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4,512,220.63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新招录人员及人员晋职晋级等人员支出增加。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81,672,244.84元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92.05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7,051,539.18元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占7.95%。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天津市津南区人民法院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88,700,574.93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4,508,624.19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5.36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新招录人员及人员晋职晋级等人员支出增加。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天津市津南区人民法院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88,700,574.93</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99.97</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4,508,624.19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5.36</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新招录人员及人员晋职晋级等人员支出增加。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88,700,574.93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公共安全支出79,698,305.30元，占89.85%；社会保障和就业支出6,008,264.40元，占6.77%；卫生健康支出2,994,005.23元，占3.38%。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84,051,000.00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88,700,574.93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105.53%</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公共安全支出（类）法院（款）行政运行（项）年初预算为68,438,000.00元，支出决算为72,651,466.12元，完成年初预算的106.16%，决算数大于年初预算数的主要原因是新招录公务员人员变动增加预算。</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公共安全支出（类）法院（款）案件审判（项）年初预算为4,730,000.00元，支出决算为5,447,268.18元，完成年初预算的115.16%，决算数大于年初预算数的主要原因是年中追加部分转移支付资金。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公共安全支出（类）法院（款）案件审判（项）年初预算为1,400,000.00元，支出决算为1,073,269.00元，完成年初预算的76.66%，决算数小于年初预算数的主要原因是支出小于预算安排。</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公共安全支出（类）法院（款）其他法院支出（项）年初预算为0元，追加预算为526,302.00元，支出决算为526,302.00元，完成追加预算的100%，决算数等于追加预算数的主要原因是2023年度增加抚恤金支出。</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4,157,000.00元，支出决算为4,005,062.84元，完成年初预算的96.35%，决算数小于年初预算数的主要原因是人员社保缴费支出较预算减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2,078,000.00元，支出决算为2,003,201.56元，完成年初预算的96.40%，决算数小于年初预算数的主要原因是人员社保缴费支出较预算减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卫生健康支出（类）行政事业单位医疗（款）行政单位医疗（项）年初预算为2,728,000.00元，支出决算为2,493,313.93元，完成年初预算的91.40%，决算数小于年初预算数的主要原因是人员社保缴费支出较预算减少。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卫生健康支出（类）行政事业单位医疗（款）公务员医疗补助（项）年初预算为520,000.00元，支出决算为500,691.30元，完成年初预算的96.29%，决算数小于年初预算数的主要原因是人员社保缴费支出较预算减少。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天津市津南区人民法院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81,653,735.75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2,732,630.69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人员支出增多。</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65,125,735.75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基本工资、津贴补贴、奖金、机关事业单位基本养老保险缴费、职业年金缴费、职工基本医疗保险缴费、公务员医疗补助缴费、其他社会保障缴费、住房公积金、其他工资福利支出、退休费、抚恤金。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16,528,000.00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办公费、水费、电费、邮电费、取暖费、物业管理费、差旅费、维修(护)费、劳务费、工会经费、福利费、公务用车运行维护费、其他交通费用、其他商品和服务支出。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天津市津南区人民法院2023年度无政府性基金预算财政拨款收入、支出和结转结余。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天津市津南区人民法院2023年度无国有资本经营预算财政拨款收入、支出和结转结余。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293,000.00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293,000.00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435,164.94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59.76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w:t>
      </w:r>
      <w:r>
        <w:rPr>
          <w:rFonts w:hint="eastAsia" w:ascii="Times New Roman" w:hAnsi="Times New Roman" w:eastAsia="仿宋_GB2312" w:cs="仿宋_GB2312"/>
          <w:kern w:val="0"/>
          <w:sz w:val="30"/>
          <w:szCs w:val="30"/>
          <w:highlight w:val="none"/>
          <w:lang w:eastAsia="zh-CN"/>
        </w:rPr>
        <w:t>三公经费支出，</w:t>
      </w:r>
      <w:r>
        <w:rPr>
          <w:rFonts w:hint="eastAsia" w:ascii="Times New Roman" w:hAnsi="Times New Roman" w:eastAsia="仿宋_GB2312" w:cs="仿宋_GB2312"/>
          <w:sz w:val="30"/>
          <w:szCs w:val="30"/>
          <w:highlight w:val="none"/>
          <w:lang w:eastAsia="zh-CN"/>
        </w:rPr>
        <w:t>严格控制预算执行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本年无购置公车支出，且公车油费降低。</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293,000.00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293,000.00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435,164.94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59.76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预算数的主要原因是合理安排公务用车使用</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严格控制预算执行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本年无购置公车支出，且公车油费降低。</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293,000.00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293,000.00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67,000.00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18.61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w:t>
      </w:r>
      <w:r>
        <w:rPr>
          <w:rFonts w:hint="eastAsia" w:ascii="Times New Roman" w:hAnsi="Times New Roman" w:eastAsia="仿宋_GB2312" w:cs="仿宋_GB2312"/>
          <w:kern w:val="0"/>
          <w:sz w:val="30"/>
          <w:szCs w:val="30"/>
          <w:highlight w:val="none"/>
          <w:lang w:eastAsia="zh-CN"/>
        </w:rPr>
        <w:t>运维费</w:t>
      </w:r>
      <w:r>
        <w:rPr>
          <w:rFonts w:hint="eastAsia" w:ascii="Times New Roman" w:hAnsi="Times New Roman" w:eastAsia="仿宋_GB2312" w:cs="仿宋_GB2312"/>
          <w:kern w:val="0"/>
          <w:sz w:val="30"/>
          <w:szCs w:val="30"/>
          <w:highlight w:val="none"/>
        </w:rPr>
        <w:t>使用</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严格控制预算执行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本年度公车油费降低。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368,164.94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天津市津南区人民法院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16,528,000.00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40,995.00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0.25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厉行节约，压减支出。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天津市津南区人民法院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6,807,101.00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160,762.00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6,646,339.00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6,807,101.00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6,807,101.00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天津市津南区人民法院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22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eastAsia="仿宋_GB2312"/>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根据预算绩效管理要求，天津市津南区人民法院2023年度已对4个市级项目开展绩效自评，涉及金额2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571元，自评结果已随部门决算一并公开；本部门2023年度未开展部门评价。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天津市津南区人民法院不属于乡、镇、街级单位，不涉及公开2023年度教育、医疗卫生、社会保障和就业、住房保障、涉农补贴等民生支出情况。
</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219D8"/>
    <w:multiLevelType w:val="singleLevel"/>
    <w:tmpl w:val="FD5219D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8DA04E8"/>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72C6E"/>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4A758D1"/>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16</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2024-08-07T06:15:20Z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FCAD6C0A32044C4C9C4BC6E8B884C36B_13</vt:lpwstr>
  </property>
</Properties>
</file>