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天津市东丽区人民法院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1.依法审判由基层人民法院管辖或由上级人民法院指定管辖的刑事、民事、行政等第一审案件。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2.受理不服本院生效裁定的各类申诉和再审申请，对其中确有错误的已发生法律效力的判决、裁定进行再审。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3.依法审判由同级人民检察院按照审判监督程序提出的抗诉案件。</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4.依法行使司法执行权和司法决定权。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5.依法决定国家赔偿。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6.针对案件审理中发现的问题提出司法建议。</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7.对本院的法官和其他工作人员进行思想政治教育，组织专业培训；按照权限管理法官和其他工作人员。</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8.负责本院纪检、监察工作。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9.负责本院业务经费、物资装备的使用和管理。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10.承办其他应由我院负责的工作。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天津市东丽区人民法院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16</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w:t>
      </w:r>
      <w:r>
        <w:rPr>
          <w:rFonts w:hint="eastAsia" w:ascii="Times New Roman" w:hAnsi="Times New Roman" w:eastAsia="仿宋_GB2312" w:cs="仿宋_GB2312"/>
          <w:kern w:val="0"/>
          <w:sz w:val="30"/>
          <w:szCs w:val="30"/>
          <w:highlight w:val="none"/>
          <w:lang w:val="en-US" w:eastAsia="zh-CN"/>
        </w:rPr>
        <w:t>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天津市东丽区人民法院2023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1.天津市东丽区人民法院本级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 天津市东丽区人民法院2023年度政府性基金预算财政拨款收入支出决算表为空表。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 天津市东丽区人民法院2023年度国有资本经营预算财政拨款收入支出决算表为空表。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天津市东丽区人民法院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82,466,794.94</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增加6,336,567.63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2023年度新招录和提职干警较多，导致人员经费和公用经费增长。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82,466,794.94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增加6,336,567.63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2023年度新招录和提职干警较多，导致人员经费和公用经费增长。</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82,442,740.74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24,054.20元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82,366,788.56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6,242,041.31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2023年度新招录和提职干警较多，导致人员经费和公用经费增长。</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77,011,263.72元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5,355,524.84元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天津市东丽区人民法院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82,442,740.74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6,329,738.99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2023年度新招录和提职干警较多，导致人员经费和公用经费增长。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天津市东丽区人民法院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82,344,688.56</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99.97</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6,231,686.81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8.19</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2023年度新招录和提职干警较多，导致人员经费和公用经费增长。</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82,344,688.56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259.13元，占89.09%；社会保障和就业支出5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287.39元，占7.19%；卫生健康支出3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142.04元，占3.72%。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74,358,000.00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82,344,688.56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110.74%</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公共安全支出（类）法院（款）行政运行（项）年初预算为60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434.29元，完成年初预算的111.65%，决算数大于年初预算数的主要原因是2023年度新招录和提职干警较多且工资结构调整，导致人员经费和公用经费增长。</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公共安全支出（类）法院（款）案件审判（项）年初预算为4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591.64元，完成年初预算的114.31%，决算数大于年初预算数的主要原因是2023年执行中按规定使用了以前年度结转资金，此外年中追加中央转移支付资金，导致项目经费增长。</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公共安全支出（类）法院（款）其他法院支出（项）年初预算为0元，追加预算为315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233.20元，支出决算为315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233.20元，完成追加预算的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%，决算数等于追加预算数的主要原因是2023年年中追加抚恤金，导致项目经费增长。</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社会保障和就业支出（类）行政事业单位养老支出（款）机关事业单位基本养老保险缴费支出（项）年初预算为3，959，000.00元，支出决算为3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901.23元，完成年初预算的99.64%，决算数小于年初预算数的主要原因是2023年度退休人员较多，导致养老保险支出减少。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386.16元，完成年初预算的99.62%，决算数小于年初预算数的主要原因是2023年度退休人员较多，导致职业年金支出减少。
</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045.50元，完成年初预算的98.85%，决算数小于年初预算数的主要原因是2023年度退休人员较多，导致为干警缴纳的行政单位医疗费减少。</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卫生健康支出（类）行政事业单位医疗（款）公务员医疗补助（项）年初预算为495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096.54元，完成年初预算的99.62%，决算数小于年初预算数的主要原因是2023年度退休人员较多，导致为干警缴纳的公务员医疗补助费减少。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天津市东丽区人民法院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76,999,863.72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5,780,959.80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2023年度新招录和提职干警较多，导致人员经费和公用经费增长。</w:t>
      </w:r>
      <w:r>
        <w:rPr>
          <w:rFonts w:hint="eastAsia" w:ascii="Times New Roman" w:hAnsi="Times New Roman" w:eastAsia="仿宋_GB2312" w:cs="仿宋_GB2312"/>
          <w:kern w:val="0"/>
          <w:sz w:val="30"/>
          <w:szCs w:val="30"/>
          <w:highlight w:val="none"/>
        </w:rPr>
        <w:t>其中：</w:t>
      </w:r>
    </w:p>
    <w:p>
      <w:pPr>
        <w:spacing w:beforeLines="0" w:afterLines="0" w:line="580" w:lineRule="exact"/>
        <w:ind w:firstLine="600"/>
        <w:rPr>
          <w:rFonts w:hint="eastAsia" w:ascii="仿宋_GB2312" w:hAnsi="仿宋_GB2312" w:eastAsia="仿宋_GB2312"/>
          <w:sz w:val="30"/>
          <w:szCs w:val="24"/>
          <w:lang w:val="en-US"/>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64,789,940.24</w:t>
      </w:r>
      <w:r>
        <w:rPr>
          <w:rFonts w:hint="eastAsia" w:ascii="Times New Roman" w:hAnsi="Times New Roman" w:eastAsia="仿宋_GB2312" w:cs="仿宋_GB2312"/>
          <w:kern w:val="0"/>
          <w:sz w:val="30"/>
          <w:szCs w:val="30"/>
          <w:highlight w:val="none"/>
        </w:rPr>
        <w:t>元，主要包括</w:t>
      </w:r>
      <w:r>
        <w:rPr>
          <w:rFonts w:hint="eastAsia" w:ascii="仿宋_GB2312" w:hAnsi="仿宋_GB2312" w:eastAsia="仿宋_GB2312"/>
          <w:sz w:val="30"/>
          <w:szCs w:val="24"/>
          <w:lang w:val="en-US"/>
        </w:rPr>
        <w:t>基本工资、津贴补贴、奖金、机关事业单位基本养老保险缴费、职业年金缴费、职工基本医疗保险缴费、公务员医疗补助缴费、其他社会保障缴费、住房公积金、其他工资福利支出、退休费、抚恤金、生活补助、奖励金、其他对个人和家庭的补助。</w:t>
      </w:r>
    </w:p>
    <w:p>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12,209,923.48</w:t>
      </w:r>
      <w:r>
        <w:rPr>
          <w:rFonts w:hint="eastAsia" w:ascii="Times New Roman" w:hAnsi="Times New Roman" w:eastAsia="仿宋_GB2312" w:cs="仿宋_GB2312"/>
          <w:kern w:val="0"/>
          <w:sz w:val="30"/>
          <w:szCs w:val="30"/>
          <w:highlight w:val="none"/>
        </w:rPr>
        <w:t>元，主要包括</w:t>
      </w:r>
      <w:r>
        <w:rPr>
          <w:rFonts w:hint="eastAsia" w:ascii="仿宋_GB2312" w:hAnsi="仿宋_GB2312" w:eastAsia="仿宋_GB2312"/>
          <w:sz w:val="30"/>
          <w:szCs w:val="24"/>
          <w:lang w:val="en-US"/>
        </w:rPr>
        <w:t>办公费、咨询费、水费、电费、取暖费、物业管理费、差旅费、维修(护)费、租赁费、劳务费、委托业务费、工会经费、福利费、公务用车运行维护费、其他交通费用、其他商品和服务支出、办公设备购置</w:t>
      </w:r>
      <w:r>
        <w:rPr>
          <w:rFonts w:hint="eastAsia" w:ascii="仿宋_GB2312" w:hAnsi="仿宋_GB2312" w:eastAsia="仿宋_GB2312"/>
          <w:sz w:val="30"/>
          <w:szCs w:val="24"/>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天津市东丽区人民法院2023年度无政府性基金预算财政拨款收入、支出和结转结余。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天津市东丽区人民法院2023年度无国有资本经营预算财政拨款收入、支出和结转结余。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10,000.37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仿宋_GB2312" w:hAnsi="仿宋_GB2312" w:eastAsia="仿宋_GB2312"/>
          <w:color w:val="auto"/>
          <w:sz w:val="30"/>
          <w:highlight w:val="none"/>
          <w:u w:val="none"/>
          <w:lang w:val="en-US" w:eastAsia="zh-CN"/>
        </w:rPr>
        <w:t>合理安排三公经费支出，严格按照预算执行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案件业务量增大，导致外出办案频次增加，公车运行维护费增加。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10,000.37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仿宋_GB2312" w:hAnsi="仿宋_GB2312" w:eastAsia="仿宋_GB2312"/>
          <w:color w:val="auto"/>
          <w:sz w:val="30"/>
          <w:highlight w:val="none"/>
          <w:u w:val="none"/>
          <w:lang w:val="en-US" w:eastAsia="zh-CN"/>
        </w:rPr>
        <w:t>合理管控车辆使用，严格按照预算执行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案件业务量增大，导致外出办案频次增加，公车运行维护费增加。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210,000.00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10,000.37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仿宋_GB2312" w:hAnsi="仿宋_GB2312" w:eastAsia="仿宋_GB2312"/>
          <w:color w:val="auto"/>
          <w:sz w:val="30"/>
          <w:highlight w:val="none"/>
          <w:u w:val="none"/>
          <w:lang w:val="en-US" w:eastAsia="zh-CN"/>
        </w:rPr>
        <w:t>合理管控车辆使用，严格按照预算执行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案件业务量增大，导致外出办案频次增加，公车运行维护费增加。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w:t>
      </w:r>
      <w:r>
        <w:rPr>
          <w:rFonts w:hint="eastAsia" w:ascii="Times New Roman" w:hAnsi="Times New Roman" w:eastAsia="仿宋_GB2312" w:cs="仿宋_GB2312"/>
          <w:kern w:val="0"/>
          <w:sz w:val="30"/>
          <w:szCs w:val="30"/>
          <w:highlight w:val="none"/>
        </w:rPr>
        <w:t>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w:t>
      </w:r>
      <w:r>
        <w:rPr>
          <w:rFonts w:hint="eastAsia" w:ascii="Times New Roman" w:hAnsi="Times New Roman" w:eastAsia="仿宋_GB2312" w:cs="仿宋_GB2312"/>
          <w:kern w:val="0"/>
          <w:sz w:val="30"/>
          <w:szCs w:val="30"/>
          <w:highlight w:val="none"/>
        </w:rPr>
        <w:t>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天津市东丽区人民法院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12,209,923.48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323,427.51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2.72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2023年度新招录干警较多，导致基本支出中的日常公用经费增长。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天津市东丽区人民法院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3,195,777.86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255,941.00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2,939,836.86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3,195,777.86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1,695,977.86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53.07%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天津市东丽区人民法院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numPr>
          <w:ilvl w:val="0"/>
          <w:numId w:val="2"/>
        </w:num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720"/>
        <w:jc w:val="left"/>
        <w:rPr>
          <w:rFonts w:hint="eastAsia" w:ascii="Times New Roman" w:hAnsi="Times New Roman" w:eastAsia="仿宋_GB2312" w:cs="Times New Roman"/>
          <w:kern w:val="0"/>
          <w:sz w:val="30"/>
          <w:szCs w:val="30"/>
          <w:highlight w:val="none"/>
        </w:rPr>
      </w:pPr>
      <w:r>
        <w:rPr>
          <w:rFonts w:hint="eastAsia" w:ascii="Times New Roman" w:hAnsi="Times New Roman" w:eastAsia="仿宋_GB2312" w:cs="Times New Roman"/>
          <w:kern w:val="0"/>
          <w:sz w:val="30"/>
          <w:szCs w:val="30"/>
          <w:highlight w:val="none"/>
        </w:rPr>
        <w:t>根据预算绩效管理要求，天津市东丽区人民法院2023年度已对4个市级项目开展绩效自评，涉及金额728</w:t>
      </w:r>
      <w:r>
        <w:rPr>
          <w:rFonts w:hint="eastAsia" w:ascii="Times New Roman" w:hAnsi="Times New Roman" w:eastAsia="仿宋_GB2312" w:cs="Times New Roman"/>
          <w:kern w:val="0"/>
          <w:sz w:val="30"/>
          <w:szCs w:val="30"/>
          <w:highlight w:val="none"/>
          <w:lang w:val="en-US" w:eastAsia="zh-CN"/>
        </w:rPr>
        <w:t>,</w:t>
      </w:r>
      <w:r>
        <w:rPr>
          <w:rFonts w:hint="eastAsia" w:ascii="Times New Roman" w:hAnsi="Times New Roman" w:eastAsia="仿宋_GB2312" w:cs="Times New Roman"/>
          <w:kern w:val="0"/>
          <w:sz w:val="30"/>
          <w:szCs w:val="30"/>
          <w:highlight w:val="none"/>
        </w:rPr>
        <w:t>294.2元，自评结果已随部门决算一并公开；本部门2023年度未开展部门评价。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天津市东丽区人民法院不属于乡、镇、街级单位，不涉及公开2023年度教育、医疗卫生、社会保障和就业、住房保障、涉农补贴等民生支出情况。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1B4C1"/>
    <w:multiLevelType w:val="singleLevel"/>
    <w:tmpl w:val="8BE1B4C1"/>
    <w:lvl w:ilvl="0" w:tentative="0">
      <w:start w:val="1"/>
      <w:numFmt w:val="decimal"/>
      <w:suff w:val="space"/>
      <w:lvlText w:val="%1."/>
      <w:lvlJc w:val="left"/>
    </w:lvl>
  </w:abstractNum>
  <w:abstractNum w:abstractNumId="1">
    <w:nsid w:val="77FAB6B0"/>
    <w:multiLevelType w:val="singleLevel"/>
    <w:tmpl w:val="77FAB6B0"/>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2VkZDY4NjczYzgyMzEwZWE4YTNkMWI0OWYxM2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EE2224"/>
    <w:rsid w:val="029D518A"/>
    <w:rsid w:val="03311B3F"/>
    <w:rsid w:val="03901927"/>
    <w:rsid w:val="05CA273A"/>
    <w:rsid w:val="05DB4986"/>
    <w:rsid w:val="05E55C53"/>
    <w:rsid w:val="069A035E"/>
    <w:rsid w:val="07267E44"/>
    <w:rsid w:val="07425D24"/>
    <w:rsid w:val="07A23238"/>
    <w:rsid w:val="085D1644"/>
    <w:rsid w:val="0A7D5D1A"/>
    <w:rsid w:val="0AF018E5"/>
    <w:rsid w:val="0B1428B6"/>
    <w:rsid w:val="0B2716A6"/>
    <w:rsid w:val="0B2E72C7"/>
    <w:rsid w:val="0C411F0C"/>
    <w:rsid w:val="0C7B1820"/>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2B0044"/>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1A27D3"/>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2024-08-07T06:10:52Z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55E4392313094651812799A85F65B839_13</vt:lpwstr>
  </property>
</Properties>
</file>