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天津市第一中级人民法院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天津市第一中级人民法院作为国家审判机关，依法独立行使审判权，审判工作受天津市高级人民法院监督指导。主要职责包括：</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1、依法审判由本院管辖的刑事、民事、行政等第一审案件。</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2、依法审判由本院管辖的刑事、民事、行政等第二审案件。</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3、依法审判由上级人民法院指定管辖的刑事、民事、行政等案件；依法对辖区基层人民法院行使指定管辖权。</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4、受理不服本院和辖区基层人民法院生效裁判的各类申诉和再审申请，对其中确有错误的已经发生法律效力的判决、裁定，进行再审或指定下级人民法院再审。</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5、依法审判由同级人民检察院按照审判监督程序提出的抗诉案件。</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6、依法行使司法执行权和司法决定权。</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7、监督辖区基层人民法院的审判工作。</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8、依法决定国家赔偿。</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9、针对案件审理中发现的问题提出司法建议。</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10、对本院的法官和其他工作人员进行思想政治教育，组织专业  培训；按照权限管理法官和其他工作人员。</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11、负责本院的纪检、监察工作。</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12、负责本院业务经费、物资装备的使用和管理。</w:t>
      </w:r>
      <w:r>
        <w:rPr>
          <w:rFonts w:hint="eastAsia" w:ascii="Times New Roman" w:hAnsi="Times New Roman" w:eastAsia="仿宋_GB2312" w:cs="仿宋_GB2312"/>
          <w:sz w:val="30"/>
          <w:szCs w:val="30"/>
          <w:lang w:val="zh-CN"/>
        </w:rPr>
        <w:br w:type="textWrapping"/>
      </w:r>
      <w:r>
        <w:rPr>
          <w:rFonts w:hint="eastAsia" w:ascii="Times New Roman" w:hAnsi="Times New Roman" w:eastAsia="仿宋_GB2312" w:cs="仿宋_GB2312"/>
          <w:sz w:val="30"/>
          <w:szCs w:val="30"/>
          <w:lang w:val="zh-CN"/>
        </w:rPr>
        <w:t xml:space="preserve">    13、承办其他应当由天津市第一中级人民法院负责的工作。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天津市第一中级人民法院内设18个职能处室。纳入天津市第一中级人民法院2023年度部门决算编制范围的单位包括：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天津市第一中级人民法院部门(本级)。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1.天津市第一中级人民法院2023年度政府性基金预算财政拨款收入支出决算表为空表。</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2.天津市第一中级人民法院2023年度国有资本经营预算财政拨款收入支出决算表为空表。</w:t>
      </w:r>
    </w:p>
    <w:p>
      <w:pPr>
        <w:widowControl/>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天津市第一中级人民法院2023年度收入、支出决算总计200,236,402.31元，与2022年度相比，收、支总计各增加17,155,251.87元，增长9.37%，主要原因是：财政拨款收支增加。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Times New Roman"/>
          <w:sz w:val="30"/>
          <w:szCs w:val="30"/>
        </w:rPr>
        <w:t>天津市第一中级人民法院2023年度本年收入合计173,263,916.70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年度相比增加12,700,425.37元，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：财政拨款收入增加。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168,002,447.81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96.96</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5,261,468.89元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3.04%。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天津市第一中级人民法院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年度本年支出合计170,436,973.38元，与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年度相比增加14,578,347.09元，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社保缴费政策变更相应支出增加，增加审判业务用房水、电、空调、管线修缮尾款项目支出。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143,430,379.66元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占84.15%；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27,006,593.72元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占15.85%。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天津市第一中级人民法院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168,002,447.81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年度相比，财政拨款收、支总计各增加13,524,342.03元，增长8.75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社保缴费政策变更相应支出增加，增加审判业务用房水、电、空调、管线修缮尾款项目支出。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天津市第一中级人民法院2023年度部门决算一般公共预算财政拨款支出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计168,002,447.81元，占本年支出合计的98.57%，与2022年度相比，一般公共预算财政拨款支出增加13,524,342.03元，增长8.75%，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：社保缴费政策变更相应支出增加，增加审判业务用房水、电、空调、管线修缮尾款项目支出。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168,002,447.81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一般公共服务支出757,481.73元，占0.45%；公共安全支出150,778,281.23元，占89.75%；社会保障和就业支出10,873,000.00元，占6.47%；卫生健康支出5,593,684.85元，占3.33%。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153,234,000.00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168,002,447.81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109.64%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公共安全支出（类）法院（款）行政运行（项）年初预算为114,449,000.00元，支出决算为125,976,052.36元，完成年初预算的110.07%，决算数大于年初预算数的主要原因是人员动态调整,相应支出增加。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公共安全支出（类）法院（款）案件审判（项）年初预算为21,420,000.00元，支出决算为24,075,738.47元，完成年初预算的112.4</w:t>
      </w:r>
      <w:r>
        <w:rPr>
          <w:rFonts w:hint="eastAsia" w:ascii="Times New Roman" w:hAnsi="Times New Roman" w:eastAsia="仿宋_GB2312" w:cs="仿宋_GB2312"/>
          <w:sz w:val="30"/>
          <w:szCs w:val="30"/>
          <w:lang w:val="en-US" w:eastAsia="zh-CN"/>
        </w:rPr>
        <w:t>0</w:t>
      </w:r>
      <w:bookmarkStart w:id="0" w:name="_GoBack"/>
      <w:bookmarkEnd w:id="0"/>
      <w:r>
        <w:rPr>
          <w:rFonts w:hint="eastAsia" w:ascii="Times New Roman" w:hAnsi="Times New Roman" w:eastAsia="仿宋_GB2312" w:cs="仿宋_GB2312"/>
          <w:sz w:val="30"/>
          <w:szCs w:val="30"/>
        </w:rPr>
        <w:t>%，决算数大于年初预算数的主要原因是使用上年项目结转资金支出。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法院（款）其他法院支出（项）年初预算为0.00元，支出决算为726,490.40元，追加预算881,221.60元，完成追加预算的82.44%，决算数小于追加预算数的主要原因是部分家属个人原因尚未领取抚恤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基本养老保险缴费支出（项），年初预算为7,603,000.00元，支出决算为7,253,000.00元，完成年初预算的95.40%，决算数小于年初预算数的主要原因是人员增减变化影响养老保险缴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3,802,000.00元，支出决算为3,620,000.00元，完成年初预算的95.21%，决算数小于年初预算数的主要原因是人员增减变化影响职业年金缴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单位医疗（项），年初预算为5,010,000.00元，支出决算为4,693,684.85元，完成年初预算的93.69%，决算数小于年初预算数的主要原因是人员增减变化影响医疗保险缴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公务员医疗补助（项），年初预算为950,000.00，支出决算为900,000.00元，完成年初预算的94.74%，决算数小于年初预算数的主要原因是人员增减变化影响公务员医疗补助缴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天津市第一中级人民法院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142,442,737.21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年度相比增加5,785,033.61元，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社保缴费政策变更相应支出增加。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120,367,369.25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医疗费补助、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22,075,367.96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办公费、印刷费、手续费、水费、电费、取暖费、物业管理费、维修(护)费、租赁费、培训费、工会经费、福利费、公务用车运行维护费、其他交通费用、其他商品和服务支出、办公设备购置、专用设备购置。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天津市第一中级人民法院2023年度无政府性基金预算财政拨款收入、支出和结转结余。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天津市第一中级人民法院2023年度无国有资本经营预算财政拨款收入、支出和结转结余。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445,000.00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411,367.96</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33,632.04</w:t>
      </w:r>
      <w:r>
        <w:rPr>
          <w:rFonts w:hint="eastAsia" w:ascii="Times New Roman" w:hAnsi="Times New Roman" w:eastAsia="仿宋_GB2312" w:cs="仿宋_GB2312"/>
          <w:kern w:val="0"/>
          <w:sz w:val="30"/>
          <w:szCs w:val="30"/>
        </w:rPr>
        <w:t>元，完成预算的92.44</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390,232.04元，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48.68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过紧日子，</w:t>
      </w:r>
      <w:r>
        <w:rPr>
          <w:rFonts w:hint="eastAsia" w:ascii="Times New Roman" w:hAnsi="Times New Roman" w:eastAsia="仿宋_GB2312" w:cs="仿宋_GB2312"/>
          <w:sz w:val="30"/>
          <w:szCs w:val="30"/>
        </w:rPr>
        <w:t>压减公车运行维护费支出</w:t>
      </w:r>
      <w:r>
        <w:rPr>
          <w:rFonts w:hint="eastAsia" w:ascii="Times New Roman" w:hAnsi="Times New Roman" w:eastAsia="仿宋_GB2312" w:cs="仿宋_GB2312"/>
          <w:sz w:val="30"/>
          <w:szCs w:val="30"/>
          <w:lang w:eastAsia="zh-CN"/>
        </w:rPr>
        <w:t>，严格按照预算执行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本年无公务用车更新。</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445,000.00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411,367.96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33,632.04</w:t>
      </w:r>
      <w:r>
        <w:rPr>
          <w:rFonts w:hint="eastAsia" w:ascii="Times New Roman" w:hAnsi="Times New Roman" w:eastAsia="仿宋_GB2312" w:cs="仿宋_GB2312"/>
          <w:kern w:val="0"/>
          <w:sz w:val="30"/>
          <w:szCs w:val="30"/>
        </w:rPr>
        <w:t>元，完成预算的92.44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390,232.04元，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48.68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过紧日子，</w:t>
      </w:r>
      <w:r>
        <w:rPr>
          <w:rFonts w:hint="eastAsia" w:ascii="Times New Roman" w:hAnsi="Times New Roman" w:eastAsia="仿宋_GB2312" w:cs="仿宋_GB2312"/>
          <w:sz w:val="30"/>
          <w:szCs w:val="30"/>
        </w:rPr>
        <w:t>压减公车运行维护费支出</w:t>
      </w:r>
      <w:r>
        <w:rPr>
          <w:rFonts w:hint="eastAsia" w:ascii="Times New Roman" w:hAnsi="Times New Roman" w:eastAsia="仿宋_GB2312" w:cs="仿宋_GB2312"/>
          <w:sz w:val="30"/>
          <w:szCs w:val="30"/>
          <w:lang w:eastAsia="zh-CN"/>
        </w:rPr>
        <w:t>，严格按照预算执行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本年无公务用车更新。</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445,000.00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411,367.96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33,632.04</w:t>
      </w:r>
      <w:r>
        <w:rPr>
          <w:rFonts w:hint="eastAsia" w:ascii="Times New Roman" w:hAnsi="Times New Roman" w:eastAsia="仿宋_GB2312" w:cs="仿宋_GB2312"/>
          <w:kern w:val="0"/>
          <w:sz w:val="30"/>
          <w:szCs w:val="30"/>
        </w:rPr>
        <w:t>元，完成预算的92.44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31,632.04元，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7.14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过紧日子，</w:t>
      </w:r>
      <w:r>
        <w:rPr>
          <w:rFonts w:hint="eastAsia" w:ascii="Times New Roman" w:hAnsi="Times New Roman" w:eastAsia="仿宋_GB2312" w:cs="仿宋_GB2312"/>
          <w:sz w:val="30"/>
          <w:szCs w:val="30"/>
        </w:rPr>
        <w:t>压减公车运行维护费支出</w:t>
      </w:r>
      <w:r>
        <w:rPr>
          <w:rFonts w:hint="eastAsia" w:ascii="Times New Roman" w:hAnsi="Times New Roman" w:eastAsia="仿宋_GB2312" w:cs="仿宋_GB2312"/>
          <w:sz w:val="30"/>
          <w:szCs w:val="30"/>
          <w:lang w:eastAsia="zh-CN"/>
        </w:rPr>
        <w:t>，严格按照预算执行</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358,600.00元，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天津市第一中级人民法院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22,075,367.96</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年增加61,108.96元，增长0.28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。主要原因是：案件增多</w:t>
      </w:r>
      <w:r>
        <w:rPr>
          <w:rFonts w:hint="eastAsia" w:ascii="Times New Roman" w:hAnsi="Times New Roman" w:eastAsia="仿宋_GB2312" w:cs="仿宋_GB2312"/>
          <w:sz w:val="30"/>
          <w:szCs w:val="30"/>
        </w:rPr>
        <w:t>本年机关运行成本略有增加。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天津市第一中级人民法院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6,822,423.00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830,457.00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2,037,966.00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3,954,000.00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5,629,423.00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82.51%</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2,473,457.00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36.25%</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69.83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日，天津市第一中级人民法院共有车辆</w:t>
      </w:r>
      <w:r>
        <w:rPr>
          <w:rFonts w:hint="eastAsia" w:ascii="Times New Roman" w:hAnsi="Times New Roman" w:eastAsia="仿宋_GB2312" w:cs="Times New Roman"/>
          <w:kern w:val="0"/>
          <w:sz w:val="30"/>
          <w:szCs w:val="30"/>
        </w:rPr>
        <w:t>29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天津市第一中级人民法院2023年度无需公开项目支出绩效自评结果。本部门2023年度未开展部门评价。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天津市第一中级人民法院不属于乡、镇、街级单位，不涉及公开2023年度教育、医疗卫生、社会保障和就业、住房保障、涉农补贴等民生支出情况。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729D3"/>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B4AEB"/>
    <w:rsid w:val="005D1367"/>
    <w:rsid w:val="005D3F56"/>
    <w:rsid w:val="00654D17"/>
    <w:rsid w:val="006623EC"/>
    <w:rsid w:val="006A094D"/>
    <w:rsid w:val="006D2409"/>
    <w:rsid w:val="006E65DB"/>
    <w:rsid w:val="00776FF3"/>
    <w:rsid w:val="0078156E"/>
    <w:rsid w:val="00786E74"/>
    <w:rsid w:val="007D1285"/>
    <w:rsid w:val="007E49E1"/>
    <w:rsid w:val="007F19C5"/>
    <w:rsid w:val="007F6DA7"/>
    <w:rsid w:val="008174D5"/>
    <w:rsid w:val="00885126"/>
    <w:rsid w:val="0089698B"/>
    <w:rsid w:val="008D48A9"/>
    <w:rsid w:val="009059B3"/>
    <w:rsid w:val="00941A30"/>
    <w:rsid w:val="00977DCC"/>
    <w:rsid w:val="009820CF"/>
    <w:rsid w:val="00982A8B"/>
    <w:rsid w:val="009A7ED3"/>
    <w:rsid w:val="009D74D7"/>
    <w:rsid w:val="00A57AE7"/>
    <w:rsid w:val="00AF71AE"/>
    <w:rsid w:val="00B33C70"/>
    <w:rsid w:val="00B75228"/>
    <w:rsid w:val="00B811F1"/>
    <w:rsid w:val="00B81B9F"/>
    <w:rsid w:val="00BA72FF"/>
    <w:rsid w:val="00BC763A"/>
    <w:rsid w:val="00BC7D6F"/>
    <w:rsid w:val="00BD3CAC"/>
    <w:rsid w:val="00BF697A"/>
    <w:rsid w:val="00C52E77"/>
    <w:rsid w:val="00C65A44"/>
    <w:rsid w:val="00C76AC3"/>
    <w:rsid w:val="00C83EB4"/>
    <w:rsid w:val="00C924C0"/>
    <w:rsid w:val="00D4505A"/>
    <w:rsid w:val="00D65B41"/>
    <w:rsid w:val="00D67A0B"/>
    <w:rsid w:val="00DB006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A83E3C"/>
    <w:rsid w:val="24B227A0"/>
    <w:rsid w:val="25BA7C7E"/>
    <w:rsid w:val="2666570F"/>
    <w:rsid w:val="26DB4B05"/>
    <w:rsid w:val="271B299E"/>
    <w:rsid w:val="27621AA9"/>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84179BC"/>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C71E02"/>
    <w:rsid w:val="49DA103E"/>
    <w:rsid w:val="4A2319E6"/>
    <w:rsid w:val="4A8E57CD"/>
    <w:rsid w:val="4CA13CE1"/>
    <w:rsid w:val="4CD450D8"/>
    <w:rsid w:val="4D14664A"/>
    <w:rsid w:val="4D210FC7"/>
    <w:rsid w:val="4D5679DC"/>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700E8C"/>
    <w:rsid w:val="599E4BE5"/>
    <w:rsid w:val="5A1C0F73"/>
    <w:rsid w:val="5A964C59"/>
    <w:rsid w:val="5C170425"/>
    <w:rsid w:val="5CD612EB"/>
    <w:rsid w:val="5D032E6E"/>
    <w:rsid w:val="5D265C8A"/>
    <w:rsid w:val="5DC66F7C"/>
    <w:rsid w:val="5DFB2606"/>
    <w:rsid w:val="5E015742"/>
    <w:rsid w:val="5EB1144C"/>
    <w:rsid w:val="5EF37781"/>
    <w:rsid w:val="5F6D7131"/>
    <w:rsid w:val="5F7856C5"/>
    <w:rsid w:val="5FF67529"/>
    <w:rsid w:val="615900E7"/>
    <w:rsid w:val="61D75AE1"/>
    <w:rsid w:val="620B43D3"/>
    <w:rsid w:val="624C1682"/>
    <w:rsid w:val="63B80927"/>
    <w:rsid w:val="64191A38"/>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890</Words>
  <Characters>5079</Characters>
  <Lines>42</Lines>
  <Paragraphs>11</Paragraphs>
  <TotalTime>11</TotalTime>
  <ScaleCrop>false</ScaleCrop>
  <LinksUpToDate>false</LinksUpToDate>
  <CharactersWithSpaces>5958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2024-07-31T07:24:00Z</dcterms:created>
  <dc:creator>office</dc:creator>
  <cp:lastModifiedBy>Dell</cp:lastModifiedBy>
  <dcterms:modified xsi:type="dcterms:W3CDTF">2024-08-22T03:52:38Z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