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中国人民政治协商会议天津市委员会办公厅2023年度部门决算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pageBreakBefore w:val="0"/>
        <w:widowControl w:val="0"/>
        <w:kinsoku/>
        <w:wordWrap/>
        <w:overflowPunct/>
        <w:topLinePunct w:val="0"/>
        <w:autoSpaceDE w:val="0"/>
        <w:autoSpaceDN w:val="0"/>
        <w:bidi w:val="0"/>
        <w:adjustRightInd w:val="0"/>
        <w:snapToGrid/>
        <w:spacing w:line="600" w:lineRule="exact"/>
        <w:ind w:firstLine="880" w:firstLineChars="200"/>
        <w:jc w:val="both"/>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人民政治协商会议是中国人民爱国统一战线的组织，是中国共产党领导的多党合作和政治协商的重要机构，是我国政治生活中发扬社会主义民主的重要形式。政协天津市委员会的主要职能是政治协商、民主监督、参政议政。</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中国人民政治协商会议天津市委员会办公厅是政协天津市委员会的工作机构，承担为市政协履行职能服务的各项工作。主要负责市政协全体会议、常务委员会会议、主席会议、秘书长会议以及其他重要会议、活动的组织和服务工作；负责机关及所属事业单位机构编制、干部人事管理工作；负责管理机关后勤事务；负责机关离退休人员的管理和服务工作；作为一级预算单位负责市政协机关及所属预算单位的预、决算工作。</w:t>
      </w:r>
    </w:p>
    <w:p>
      <w:pPr>
        <w:keepNext/>
        <w:keepLines/>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政协天津市第十五届委员会内设十个专门委员会及办公厅、研究室、委员学习和联络室三个局级办公机构；下辖1个预算单位。纳入中国人民政治协商会议天津市委员会办公厅2023年度部门决算编制范围的单位包括：</w:t>
      </w:r>
    </w:p>
    <w:p>
      <w:pPr>
        <w:pageBreakBefore w:val="0"/>
        <w:widowControl w:val="0"/>
        <w:kinsoku/>
        <w:wordWrap/>
        <w:overflowPunct/>
        <w:topLinePunct w:val="0"/>
        <w:autoSpaceDE w:val="0"/>
        <w:autoSpaceDN w:val="0"/>
        <w:bidi w:val="0"/>
        <w:adjustRightInd w:val="0"/>
        <w:snapToGrid/>
        <w:spacing w:line="600" w:lineRule="exact"/>
        <w:ind w:left="596" w:leftChars="284"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中国人民政治协商会议天津市委员会办公厅（本级）。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天津市政协委员服务中心。</w:t>
      </w:r>
    </w:p>
    <w:p>
      <w:pPr>
        <w:pageBreakBefore w:val="0"/>
        <w:widowControl w:val="0"/>
        <w:kinsoku/>
        <w:wordWrap/>
        <w:overflowPunct/>
        <w:topLinePunct w:val="0"/>
        <w:bidi w:val="0"/>
        <w:snapToGrid/>
        <w:ind w:firstLine="600" w:firstLineChars="200"/>
        <w:jc w:val="both"/>
        <w:textAlignment w:val="auto"/>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pageBreakBefore w:val="0"/>
        <w:widowControl w:val="0"/>
        <w:kinsoku/>
        <w:wordWrap/>
        <w:overflowPunct/>
        <w:topLinePunct w:val="0"/>
        <w:autoSpaceDE w:val="0"/>
        <w:autoSpaceDN w:val="0"/>
        <w:bidi w:val="0"/>
        <w:adjustRightInd w:val="0"/>
        <w:snapToGrid/>
        <w:spacing w:line="600" w:lineRule="exact"/>
        <w:ind w:firstLine="880" w:firstLineChars="200"/>
        <w:jc w:val="both"/>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pageBreakBefore w:val="0"/>
        <w:widowControl w:val="0"/>
        <w:kinsoku/>
        <w:wordWrap/>
        <w:overflowPunct/>
        <w:topLinePunct w:val="0"/>
        <w:autoSpaceDE w:val="0"/>
        <w:autoSpaceDN w:val="0"/>
        <w:bidi w:val="0"/>
        <w:adjustRightInd w:val="0"/>
        <w:snapToGrid/>
        <w:spacing w:line="600" w:lineRule="exact"/>
        <w:ind w:firstLine="480" w:firstLineChars="200"/>
        <w:jc w:val="both"/>
        <w:textAlignment w:val="auto"/>
        <w:rPr>
          <w:rFonts w:ascii="Times New Roman" w:hAnsi="Times New Roman" w:eastAsia="方正小标宋简体" w:cs="Times New Roman"/>
          <w:kern w:val="0"/>
          <w:sz w:val="24"/>
          <w:szCs w:val="24"/>
          <w:highlight w:val="none"/>
        </w:rPr>
      </w:pP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pageBreakBefore w:val="0"/>
        <w:widowControl w:val="0"/>
        <w:kinsoku/>
        <w:wordWrap/>
        <w:overflowPunct/>
        <w:topLinePunct w:val="0"/>
        <w:autoSpaceDE w:val="0"/>
        <w:autoSpaceDN w:val="0"/>
        <w:bidi w:val="0"/>
        <w:adjustRightInd w:val="0"/>
        <w:snapToGrid/>
        <w:spacing w:line="800" w:lineRule="exact"/>
        <w:ind w:firstLine="600" w:firstLineChars="200"/>
        <w:jc w:val="both"/>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pageBreakBefore w:val="0"/>
        <w:widowControl w:val="0"/>
        <w:kinsoku/>
        <w:wordWrap/>
        <w:overflowPunct/>
        <w:topLinePunct w:val="0"/>
        <w:autoSpaceDE w:val="0"/>
        <w:autoSpaceDN w:val="0"/>
        <w:bidi w:val="0"/>
        <w:adjustRightInd w:val="0"/>
        <w:snapToGrid/>
        <w:spacing w:line="600" w:lineRule="exact"/>
        <w:ind w:firstLine="480" w:firstLineChars="200"/>
        <w:jc w:val="both"/>
        <w:textAlignment w:val="auto"/>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中国人民政治协商会议天津市委员会办公厅2023年度政府性基金预算财政拨款收入支出决算表为空表。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中国人民政治协商会议天津市委员会办公厅2023年度国有资本经营预算财政拨款收入支出决算表为空表。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p>
    <w:p>
      <w:pPr>
        <w:keepNext/>
        <w:keepLines/>
        <w:pageBreakBefore w:val="0"/>
        <w:widowControl w:val="0"/>
        <w:kinsoku/>
        <w:wordWrap/>
        <w:overflowPunct/>
        <w:topLinePunct w:val="0"/>
        <w:autoSpaceDE w:val="0"/>
        <w:autoSpaceDN w:val="0"/>
        <w:bidi w:val="0"/>
        <w:adjustRightInd w:val="0"/>
        <w:snapToGrid/>
        <w:spacing w:line="600" w:lineRule="exact"/>
        <w:ind w:firstLine="880" w:firstLineChars="200"/>
        <w:jc w:val="both"/>
        <w:textAlignment w:val="auto"/>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中国人民政治协商会议天津市委员会办公厅2023年度收入、支出决算总计</w:t>
      </w:r>
      <w:r>
        <w:rPr>
          <w:rFonts w:hint="eastAsia" w:ascii="Times New Roman" w:hAnsi="Times New Roman" w:eastAsia="仿宋_GB2312" w:cs="仿宋_GB2312"/>
          <w:sz w:val="30"/>
          <w:szCs w:val="30"/>
          <w:highlight w:val="none"/>
          <w:lang w:eastAsia="zh-CN"/>
        </w:rPr>
        <w:t>110,167,294.57元，与2022年度相比，收、支总计各增加4,743,730.24元，增长4.5</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：机关工作人员工资结构调整后人员支出预算增加及本年度项目支出增加。</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中国人民政治协商会议天津市委员会办公厅</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104,393,777.05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增加5,824,442.01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机关工作人员工资结构调整后人员支出预算增加及本年度项目支出增加。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104,093,542.07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99.71</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300,234.98元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0.29%</w:t>
      </w:r>
      <w:r>
        <w:rPr>
          <w:rFonts w:hint="eastAsia" w:ascii="Times New Roman" w:hAnsi="Times New Roman" w:eastAsia="仿宋_GB2312" w:cs="仿宋_GB2312"/>
          <w:sz w:val="30"/>
          <w:szCs w:val="30"/>
          <w:highlight w:val="none"/>
          <w:lang w:val="zh-CN"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中国人民政治协商会议天津市委员会办公厅</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103,290,790.67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4,806,057.10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机关工作人员工资结构调整后人员支出增加及本年度项目支出增加。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76,332,705.88元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73.90</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26,958,084.79元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占26.1</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中国人民政治协商会议天津市委员会办公厅</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104,622,834.81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5,998,347.07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6.08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机关工作人员工资结构调整后人员支出增加及本年度项目支出增加。</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firstLine="602" w:firstLineChars="20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中国人民政治协商会议天津市委员会办公厅2023年度部门决算一般公共预算财政拨款支出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计102,620,372.39元，占本年支出合计的99.35%，与2022年度相比，一般公共预算财政拨款支出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5,693,280.05元，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5.87%，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：机关工作人员工资结构调整后人员支出增加及本年度项目支出增加。</w:t>
      </w:r>
    </w:p>
    <w:p>
      <w:pPr>
        <w:pageBreakBefore w:val="0"/>
        <w:widowControl w:val="0"/>
        <w:kinsoku/>
        <w:wordWrap/>
        <w:overflowPunct/>
        <w:topLinePunct w:val="0"/>
        <w:autoSpaceDE w:val="0"/>
        <w:autoSpaceDN w:val="0"/>
        <w:bidi w:val="0"/>
        <w:adjustRightInd w:val="0"/>
        <w:snapToGrid/>
        <w:spacing w:line="600" w:lineRule="exact"/>
        <w:ind w:left="480" w:firstLine="602" w:firstLineChars="20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102,620,372.39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 92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181.68元，占比89.88%， “社会保障和就业支出”6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260.21元，占比6.29%，“卫生健康支出”3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930.</w:t>
      </w:r>
      <w:r>
        <w:rPr>
          <w:rFonts w:hint="eastAsia" w:ascii="Times New Roman" w:hAnsi="Times New Roman" w:eastAsia="仿宋_GB2312" w:cs="仿宋_GB2312"/>
          <w:sz w:val="30"/>
          <w:szCs w:val="30"/>
          <w:highlight w:val="none"/>
          <w:lang w:val="en-US" w:eastAsia="zh-CN"/>
        </w:rPr>
        <w:t>50</w:t>
      </w:r>
      <w:r>
        <w:rPr>
          <w:rFonts w:hint="eastAsia" w:ascii="Times New Roman" w:hAnsi="Times New Roman" w:eastAsia="仿宋_GB2312" w:cs="仿宋_GB2312"/>
          <w:sz w:val="30"/>
          <w:szCs w:val="30"/>
          <w:highlight w:val="none"/>
          <w:lang w:eastAsia="zh-CN"/>
        </w:rPr>
        <w:t>元，占比3.83%。</w:t>
      </w:r>
    </w:p>
    <w:p>
      <w:pPr>
        <w:pageBreakBefore w:val="0"/>
        <w:widowControl w:val="0"/>
        <w:kinsoku/>
        <w:wordWrap/>
        <w:overflowPunct/>
        <w:topLinePunct w:val="0"/>
        <w:autoSpaceDE w:val="0"/>
        <w:autoSpaceDN w:val="0"/>
        <w:bidi w:val="0"/>
        <w:adjustRightInd w:val="0"/>
        <w:snapToGrid/>
        <w:spacing w:line="600" w:lineRule="exact"/>
        <w:ind w:left="480" w:firstLine="602" w:firstLineChars="20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100,603,000.00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102,620,372.39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102.01%</w:t>
      </w:r>
      <w:r>
        <w:rPr>
          <w:rFonts w:hint="eastAsia" w:ascii="Times New Roman" w:hAnsi="Times New Roman" w:eastAsia="仿宋_GB2312" w:cs="仿宋_GB2312"/>
          <w:kern w:val="0"/>
          <w:sz w:val="30"/>
          <w:szCs w:val="30"/>
          <w:highlight w:val="none"/>
        </w:rPr>
        <w:t>。其中：</w:t>
      </w:r>
    </w:p>
    <w:p>
      <w:pPr>
        <w:pageBreakBefore w:val="0"/>
        <w:widowControl w:val="0"/>
        <w:numPr>
          <w:ilvl w:val="0"/>
          <w:numId w:val="1"/>
        </w:numPr>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一般公共服务支出（类）政协事务（款）行政运行（项）年初预算为61,694,000元，支出决算为63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147,955.73元，完成年初预算的102.36%，决算数大于年初预算数的主要原因是根据市财政局统一安排，年中追加人员经费。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一般公共服务支出（类）政协事务（款）一般行政管理事务（项）年初预算为26,459,000元，支出决算为25,716,496.79元，完成年初预算的97.19%，决算数小于年初预算数的主要原因是认真落实过紧日子的要求，厉行节约，压缩项目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支出（类）政协事务（款）机关服务（项）年初预算为2,217,000元，支出决算为2,127,141.16元，完成年初预算的95.95%，决算数小于年初预算数的主要原因是认真落实过紧日子的要求，厉行节约，压缩一般性公务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4.一般公共服务支出（类）政协事务（款）其他政协事务支出（项） 年初预算为0元，支出决算为1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588元，追加预算1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588元，完成追加预算的100%，决算数等于追加预算数的主要原因是年中按规定申请发放退休人员丧葬抚恤金。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5.社会保障和就业支出（类）行政事业单位养老支出（款）机关事业单位基本养老保险缴费支出（项）年初预算为4,443,000元，支出决算为4,294,014.09元，完成年初预算的96.</w:t>
      </w: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5 %，决算数小于年初预算数的主要原因是人员调整，养老保险缴费支出减少。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社会保障和就业支出（类）行政事业单位养老支出（款）机关事业单位职业年金缴费支出（项）年初预算为2,221,000元，支出决算为2,162,246.12元，完成年初预算的97.35 %，决算数小于年初预算数的主要原因是人员调整，职业年金缴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7.卫生健康支出（类）行政事业单位医疗（款）行政单位医疗（项）年初预算为2,907,000元，支出决算为3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536.39元，完成年初预算的113.</w:t>
      </w:r>
      <w:r>
        <w:rPr>
          <w:rFonts w:hint="eastAsia" w:ascii="Times New Roman" w:hAnsi="Times New Roman" w:eastAsia="仿宋_GB2312" w:cs="仿宋_GB2312"/>
          <w:sz w:val="30"/>
          <w:szCs w:val="30"/>
          <w:highlight w:val="none"/>
          <w:lang w:val="en-US" w:eastAsia="zh-CN"/>
        </w:rPr>
        <w:t>12</w:t>
      </w:r>
      <w:r>
        <w:rPr>
          <w:rFonts w:hint="eastAsia" w:ascii="Times New Roman" w:hAnsi="Times New Roman" w:eastAsia="仿宋_GB2312" w:cs="仿宋_GB2312"/>
          <w:sz w:val="30"/>
          <w:szCs w:val="30"/>
          <w:highlight w:val="none"/>
          <w:lang w:eastAsia="zh-CN"/>
        </w:rPr>
        <w:t>%，决算数大于年初预算数的主要原因是年中追加离休人员药费。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8.卫生健康支出（类）行政事业单位医疗（款）事业单位医疗（项） 年初预算为108,000元，支出决算为102,125.41元，完成年初预算的94.56%，决算数小于年初预算数的主要原因是医保缴费比例调整，事业单位医疗保险支出减少。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9.卫生健康支出（类）行政事业单位医疗（款）公务员医疗补助（项）年初预算为535,000 元，支出决算为528,327.6元，完成年初预算的98.75%，决算数小于年初预算数的主要原因是人员调整，公务员医疗补助支出相应减少。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10.卫生健康支出（类）行政事业单位医疗（款）其他行政事业单位医疗支出（项）年初预算为19,000元，支出决算为11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941.1元，完成年初预算的62.85%，决算数小于年初预算数的主要原因是医保缴费比例调整，医疗支出减少。</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中国人民政治协商会议天津市委员会办公厅</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75,662,287.60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3,048,335.92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机关工作人员工资结构调整，人员支出增加。</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61,359,370.45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离休费、退休费、医疗费补助、奖励金、其他对个人和家庭的补助。</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14,302,917.15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取暖费、物业管理费、差旅费、因公出国（境）费用、维修(护)费、租赁费、培训费、公务接待费、劳务费、工会经费、福利费、公务用车运行维护费、其他交通费用、其他商品和服务支出、办公设备购置。</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中国人民政治协商会议天津市委员会办公厅2023年度无政府性基金预算财政拨款收入、支出和结转结余。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中国人民政治协商会议天津市委员会办公厅2023年度无国有资本经营预算财政拨款收入、支出和结转结余。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1,070,000.00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416,496.62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653,503.38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38.92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284,220.80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214.87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认真贯彻落实“过紧日子”要求，厉行节约，从严控制“三公”经费开支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本年度疫情好转，市政协委员调研考察、履职活动较上年度有所增加，公车运行维护支出相应增加。</w:t>
      </w:r>
    </w:p>
    <w:p>
      <w:pPr>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550,000.00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41,339.80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508,660.20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7.52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41,339.80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认真贯彻落实 “过紧日子”要求，厉行节约，从严控制外事出访活动</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上年度外事工作未能开展，本年度市政协组织出访团组1个。</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kern w:val="0"/>
          <w:sz w:val="30"/>
          <w:szCs w:val="30"/>
          <w:highlight w:val="none"/>
        </w:rPr>
        <w:t>人次。</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320,000.00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305,981.82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14,018.18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176,946.00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137.13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加强车辆运行管理，严格按照有关规定制度控制用车，从严控制公务用车运行维护支出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本年度调研考察、履职活动较上年度有所增加，公车运行维护支出相应增加。</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305,981.82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14,018.18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176,946.00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137.13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加强车辆运行管理，严格按照有关规定制度控制用车，从严控制公务用车运行维护支出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本年度调研考察、履职活动较上年度有所增加，公车运行维护支出相应增加。</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18</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200,000.00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69,175.00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130,825.00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34.59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65,935.00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2035.03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严格贯彻落实中央八项规定精神和公务接待有关规定，严控公务接待标准，从严控制公务接待费支出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各兄弟省（市区）政协来津公务活动增加，公务接待支出相应增加。</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30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249</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90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中国人民政治协商会议天津市委员会办公厅</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14,166,091.70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431,306.68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3.14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本年度市政协业务活动增加，运行保障支出相应增加。</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中国人民政治协商会议天津市委员会办公厅</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1,056,131.00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266,131.00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790,000.00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1,056,131.00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1,056,131.00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中国人民政治协商会议天津市委员会办公厅</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9</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根据预算绩效管理要求，中国人民政治协商会议天津市委员会办公厅202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年度已对18个市级项目开展绩效自评，涉及金额27,600,588</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元，自评结果已随部门决算一并公开；已对2个项目开展部门评价，涉及金额2,200,000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p>
    <w:p>
      <w:pPr>
        <w:keepNext/>
        <w:keepLines/>
        <w:pageBreakBefore w:val="0"/>
        <w:widowControl w:val="0"/>
        <w:kinsoku/>
        <w:wordWrap/>
        <w:overflowPunct/>
        <w:topLinePunct w:val="0"/>
        <w:autoSpaceDE w:val="0"/>
        <w:autoSpaceDN w:val="0"/>
        <w:bidi w:val="0"/>
        <w:adjustRightInd w:val="0"/>
        <w:snapToGrid/>
        <w:spacing w:line="600" w:lineRule="exact"/>
        <w:ind w:firstLine="602" w:firstLineChars="200"/>
        <w:jc w:val="both"/>
        <w:textAlignment w:val="auto"/>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中国人民政治协商会议天津市委员会办公厅2023年度不属于乡、镇、街级单位，不涉及公开2023年度教育、医疗卫生、社会保障和就业、住房保障、涉农补贴等民生支出情况。</w:t>
      </w:r>
    </w:p>
    <w:p>
      <w:pPr>
        <w:pageBreakBefore w:val="0"/>
        <w:widowControl w:val="0"/>
        <w:kinsoku/>
        <w:wordWrap/>
        <w:overflowPunct/>
        <w:topLinePunct w:val="0"/>
        <w:autoSpaceDE w:val="0"/>
        <w:autoSpaceDN w:val="0"/>
        <w:bidi w:val="0"/>
        <w:adjustRightInd w:val="0"/>
        <w:snapToGrid/>
        <w:ind w:firstLine="602" w:firstLineChars="200"/>
        <w:jc w:val="both"/>
        <w:textAlignment w:val="auto"/>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bookmarkStart w:id="0" w:name="_GoBack"/>
      <w:bookmarkEnd w:id="0"/>
    </w:p>
    <w:p>
      <w:pPr>
        <w:keepNext/>
        <w:keepLines/>
        <w:pageBreakBefore w:val="0"/>
        <w:widowControl w:val="0"/>
        <w:kinsoku/>
        <w:wordWrap/>
        <w:overflowPunct/>
        <w:topLinePunct w:val="0"/>
        <w:autoSpaceDE w:val="0"/>
        <w:autoSpaceDN w:val="0"/>
        <w:bidi w:val="0"/>
        <w:adjustRightInd w:val="0"/>
        <w:snapToGrid/>
        <w:spacing w:line="600" w:lineRule="exact"/>
        <w:ind w:firstLine="2200" w:firstLineChars="500"/>
        <w:jc w:val="both"/>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名词解释</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AEACF"/>
    <w:multiLevelType w:val="singleLevel"/>
    <w:tmpl w:val="A47AEAC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3D746CC"/>
    <w:rsid w:val="0575419C"/>
    <w:rsid w:val="05CA273A"/>
    <w:rsid w:val="05E55C53"/>
    <w:rsid w:val="069A035E"/>
    <w:rsid w:val="07267E44"/>
    <w:rsid w:val="07425D24"/>
    <w:rsid w:val="07A23238"/>
    <w:rsid w:val="085D1644"/>
    <w:rsid w:val="0A7D5D1A"/>
    <w:rsid w:val="0AF018E5"/>
    <w:rsid w:val="0B1428B6"/>
    <w:rsid w:val="0B2716A6"/>
    <w:rsid w:val="0B2E72C7"/>
    <w:rsid w:val="0C324B95"/>
    <w:rsid w:val="0C411F0C"/>
    <w:rsid w:val="0CDD71F7"/>
    <w:rsid w:val="0D664210"/>
    <w:rsid w:val="0DA7267B"/>
    <w:rsid w:val="0DFB4FC0"/>
    <w:rsid w:val="0E267459"/>
    <w:rsid w:val="0EBB5316"/>
    <w:rsid w:val="0F4936D8"/>
    <w:rsid w:val="0FC42B69"/>
    <w:rsid w:val="0FF22FB9"/>
    <w:rsid w:val="118916FB"/>
    <w:rsid w:val="1221675E"/>
    <w:rsid w:val="12C34799"/>
    <w:rsid w:val="12D93FBD"/>
    <w:rsid w:val="132846BF"/>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666609"/>
    <w:rsid w:val="1B7A68EC"/>
    <w:rsid w:val="1C3B4414"/>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B71BE7"/>
    <w:rsid w:val="27DD7C53"/>
    <w:rsid w:val="284E3F62"/>
    <w:rsid w:val="28612632"/>
    <w:rsid w:val="2A924D25"/>
    <w:rsid w:val="2BC20F83"/>
    <w:rsid w:val="2C800474"/>
    <w:rsid w:val="2C8F0671"/>
    <w:rsid w:val="2D3756FE"/>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2E1AEE"/>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1C141F"/>
    <w:rsid w:val="55AC416B"/>
    <w:rsid w:val="564C0516"/>
    <w:rsid w:val="5713248B"/>
    <w:rsid w:val="57833AC4"/>
    <w:rsid w:val="578735B4"/>
    <w:rsid w:val="58C3061C"/>
    <w:rsid w:val="58E93DFA"/>
    <w:rsid w:val="591B7E93"/>
    <w:rsid w:val="599E4BE5"/>
    <w:rsid w:val="5A1C0F73"/>
    <w:rsid w:val="5A964C59"/>
    <w:rsid w:val="5A9B2ED2"/>
    <w:rsid w:val="5C170425"/>
    <w:rsid w:val="5CD612EB"/>
    <w:rsid w:val="5D032E6E"/>
    <w:rsid w:val="5DC66F7C"/>
    <w:rsid w:val="5DFB2606"/>
    <w:rsid w:val="5E015742"/>
    <w:rsid w:val="5EB1144C"/>
    <w:rsid w:val="5EF37781"/>
    <w:rsid w:val="5F6D7131"/>
    <w:rsid w:val="5F7856C5"/>
    <w:rsid w:val="5FF67529"/>
    <w:rsid w:val="615900E7"/>
    <w:rsid w:val="61613D62"/>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BDA78A7"/>
    <w:rsid w:val="7C3C3FB8"/>
    <w:rsid w:val="7C941670"/>
    <w:rsid w:val="7CD65D21"/>
    <w:rsid w:val="7DAA0C16"/>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212</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2024-08-30T03:31:26Z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6B62E1EFEC5A46B7A838EC49499A5FC9_13</vt:lpwstr>
  </property>
</Properties>
</file>