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天津市农业农村委员会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市农业农村委员会是市政府组成部门，为正局级，加挂市乡村振兴局牌子。</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市农业农村委员会贯彻落实党中央关于“三农”工作的方针政策、党中央和市委关于“三农”工作的决策部署，在履行职责过程中坚持和加强党对“三农”工作的集中统一领导。主要职责是：</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一）统筹研究和组织实施本市“三农”工作的发展战略、中长期规划、重大政策。贯彻落实“三农”工作法律法规，研究起草有关地方性法规、政府规章草案，拟订相关地方性规范、标准，并组织实施。指导农业综合执法，参与涉农的财税、价格、收储、金融保险、进出口等政策制定。</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（二）统筹推动发展农村社会事业、农村公共服务、农村文化、农村基础设施和乡村治理。牵头组织改善农村人居环境。指导农村精神文明和优秀农耕文化建设。</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三）拟订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四）指导乡村特色产业、农产品加工业、休闲农业和乡镇企业发展工作。提出促进大宗农产品流通的建议，培育、保护农业品牌。发布农业农村经济信息，监测分析农业农村经济运行。承担农业统计和农业农村信息化有关工作。</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五）负责种植业、畜牧业、渔业、农垦、农业机械化等农业各产业的监督管理。指导粮食等农产品生产。组织构建现代农业产业体系、生产体系、经营体系，指导农业标准化生产。负责远洋渔业管理和渔政渔港监督管理。指导农业机械化发展和农机安全监理。负责农业领域安全生产监督管理工作。</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（六）负责农产品质量安全监督管理。组织开展农产品质量安全监测、追溯、风险评估。会同有关部门实施农产品质量安全国家标准。指导农业检验检测体系建设。</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八）负责有关农业生产资料和农业投入品的监督管理。组织农业生产资料市场体系建设，监督有关农业生产资料国家标准实施。实施兽药质量、兽药残留限量和残留检测方法国家标准。组织兽医医政、兽药药政药检工作，负责执业兽医和畜禽屠宰行业管理。</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（九）负责农业防灾减灾、农作物重大病虫害防治工作。指导动植物防疫检疫体系建设，组织、监督动植物防疫检疫工作，根据权限发布疫情并组织扑灭。</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负责农业投资管理。编制市级投资安排的农业投资项目建设规划，提出农业投资规模和方向、扶持农业农村发展财政项目的建议，按市政府规定权限审批农业投资项目，负责农业投资项目资金安排和监督管理。负责农业综合开发项目、农田整治项目、农田水利建设项目管理工作。</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（十二）指导农业农村人才工作。拟订农业农村人才队伍建设规划并组织实施，指导农业教育和农业职业技能开发，指导新型职业农民培育、农业科技人才培养和农村实用人才培训工作。</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（十三）牵头开展农业对外合作工作。组织推动农业领域招商引资、引进技术和智力及对外交流，组织开展农业贸易促进和有关国际交流合作，参与实施国家间有关农业援助项目。</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（十四）完成市委、市政府交办的其他事项。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天津市农业农村委员会内设29个职能处室；下辖12个预算单位。纳入天津市农业农村委员会2023年度部门决算编制范围的单位包括：</w:t>
      </w:r>
      <w:bookmarkStart w:id="0" w:name="_GoBack"/>
      <w:bookmarkEnd w:id="0"/>
    </w:p>
    <w:p>
      <w:pPr>
        <w:spacing w:line="600" w:lineRule="exac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1.行政单位：天津市农业农村委员会（本级），共计1个单位。</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2.事业单位：天津市农业科学院、天津市农业发展服务中心、天津市农村社会事业发展服务中心、天津市水产研究所、天津市动物疫病预防控制中心、天津市农业生态环境监测与农产品质量监测中心、天津农机化技术试验服务中心及天津市农业农村委信息中心、天津市中芬乳品研究培训中心、天津市农业广播电视学校、天津市优质农产品开发示范中心，共计10个单位。</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3.行政执法机构：天津市农业综合行政执法总队、天津市渔政渔港监督管理处，共计2个单位。</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天津市农业农村委员会2023年度国有资本经营预算财政拨款收入支出决算表为空表。</w:t>
      </w:r>
    </w:p>
    <w:p>
      <w:pPr>
        <w:widowControl/>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农业农村委员会2023年度收入、支出决算总计1,321,409,890.67元，与2022年度相比，收、支总计各减少240,284,221.46元，下降15.39%，主要原因是：农村人居环境整治示范村创建项目及“百千工程”示范村项目转拨资金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sz w:val="30"/>
          <w:szCs w:val="30"/>
        </w:rPr>
        <w:t>天津市农业农村委员会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1,298,327,685.42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年度相比减少280,231,916.59元，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：农村人居环境整治示范村创建项目及“百千工程”示范村项目转拨资金减少</w:t>
      </w:r>
      <w:r>
        <w:rPr>
          <w:rFonts w:hint="eastAsia" w:ascii="Times New Roman" w:hAnsi="Times New Roman" w:eastAsia="仿宋_GB2312" w:cs="仿宋_GB2312"/>
          <w:kern w:val="0"/>
          <w:sz w:val="30"/>
          <w:szCs w:val="30"/>
          <w:lang w:eastAsia="zh-CN"/>
        </w:rPr>
        <w:t>。</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1,091,471,311.05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84.07</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61,828,023.44元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4.76%；</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35,016,711.24元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2.7%；</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47,681,390.14元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3.67%；</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2,514,500.00元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0.19%；</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59,815,749.55元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4.61%。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天津市农业农村委员会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年度本年支出合计1,291,496,531.95元，与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年度相比减少311,012,716.06元，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农村人居环境整治示范村创建项目及“百千工程”示范村项目转拨资金减少。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524,138,086.35元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占40.58%；</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721,300,201.38元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占55.85%；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46,058,244.22元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占3.57%。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天津市农业农村委员会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1,153,299,334.49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年度相比，财政拨款收、支总计各减少310,031,312.99元，下降21.19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农村人居环境整治示范村创建项目及“百千工程”示范村项目转拨资金减少。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天津市农业农村委员会2023年度部门决算一般公共预算财政拨款支出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计1,091,471,311.05元，占本年支出合计的84.51%，与2022年度相比，一般公共预算财政拨款支出减少365,263,330.66元，下降25.07%，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：农村人居环境整治示范村创建项目及“百千工程”示范村项目转拨资金减少</w:t>
      </w:r>
      <w:r>
        <w:rPr>
          <w:rFonts w:hint="eastAsia" w:ascii="Times New Roman" w:hAnsi="Times New Roman" w:eastAsia="仿宋_GB2312" w:cs="仿宋_GB2312"/>
          <w:sz w:val="30"/>
          <w:szCs w:val="30"/>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1,091,471,311.05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科学技术支出121,913,348.84元，占11.17%；社会保障和就业支出44,386,020.56元，占4.06%；卫生健康支出24,141,596.74元，占2.21%；农林水支出783,189,537.91元，占71.76%；债务付息支出117,840,807.00元，占10.80%。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896,983,807.00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1,091,471,311.05</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121.68%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1.科学技术支出(类)基础研究(款)自然科学基金(项)年初预算为0.00元，支出决算为157,413.03元，决算数大于年初预算数的主要原因是使用2021年度天津市科技计划项目结转资金。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2.科学技术支出(类)基础研究(款) 其他基础研究支出(项)年初预算为0.00元，支出决算为223,121.3元，决算数大于年初预算数的主要原因是使用2022年度天津市科技计划项目结转资金。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3.科学技术支出(类)应用研究(款)机构运行(项)年初预算为115,190,000.00元，支出决算为117,649,330.00元，完成年初预算的104.02%，决算数大于年初预算数的主要原因是农科院人员变动。</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4.科学技术支出(类)技术研究与开发(款)其他技术研究与开发支出(项)年初预算为0.00元，支出决算为175,527.00元，决算数大于年初预算数的主要原因是使用2021年度天津市科技型企业发展专项资金项目的结转资金。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科学技术支出(类)其他科学技术支出(款)其他科学技术支出(项)年初预算为0.00元，支出决算为3,707,957.51元，决算数大于年初预算数的主要原因是使用2021-2022年度中央引导地方科技发展项目以及天津市科技计划等项目结转资金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社会保障和就业支出(类)行政事业单位养老支出(款)机关事业单位基本养老保险缴费支出(项)年初预算为29,760,000.00元，支出决算为29,590,347.04元，完成年初预算的99.42%，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社会保障和就业支出(类)行政事业单位养老支出(款)机关事业单位职业年金缴费支出(项)年初预算为14,881,000.00元，支出决算为14,795,673.52元，完成年初预算的99.42%，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8.卫生健康支出(类)行政事业单位医疗(款)行政单位医疗(项)年初预算为7,029,000.00元，支出决算为6,633,223.06元，完成年初预算的94.36%，决算数小于年初预算数的主要原因是人员变动按照实际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9.卫生健康支出(类)行政事业单位医疗(款)事业单位医疗(项)年初预算为12,495,000.00元，支出决算为12,699,705.30元，完成年初预算的101.63%，决算数大于年初预算数的主要原因是人员变动按照实际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10.卫生健康支出(类)行政事业单位医疗(款)公务员医疗补助(项)年初预算为1,335,000.00元，支出决算为1,313,668.38元，完成年初预算的98.40%，决算数小于年初预算数的主要原因是人员变动按照实际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11.卫生健康支出(类)行政事业单位医疗(款)其他行政事业单位医疗支出(项)年初预算为4,028,000.00元，支出决算为3,495,000.00元，完成年初预算的86.76%，决算数小于年初预算数的主要原因是人员变动按照实际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12.农林水支出(类)农业农村(款)行政运行(项)年初预算为142,389,000.00元，支出决算为150,419,266.93元，完成年初预算的105.63%，决算数大于年初预算数的主要原因是年中追加经费。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13.农林水支出(类)农业农村(款)事业运行(项)年初预算为129,602,000.00元，支出决算为129,096,156.88元，完成年初预算的99.60%，决算数小于年初预算数的主要原因是人员变动按照实际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14.农林水支出(类)农业农村(款)科技转化与推广服务(项)年初预算为120,000.00元，支出决算为13,217,360.00元，完成年初预算的11000.14%，决算数大于年初预算数的主要原因是年中追加项目经费。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15.农林水支出(类)农业农村(款)病虫害控制(项)年初预算为11,720,000.00元，支出决算为22,253,799.80元，完成年初预算的189.87%，决算数大于年初预算数的主要原因是年中追加项目经费。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16.农林水支出(类)农业农村(款)农产品质量安全(项)年初预算为16,330,000.00元，支出决算为26,325,883.90元，完成年初预算的161.21%，决算数大于年初预算数的主要原因是年中追加项目经费。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17.农林水支出(类)农业农村(款)执法监管(项)年初预算为 5,250,000.00元，支出决算为5,184,966.91元，完成年初预算的98.76%，决算数小于年初预算数的主要原因是项目已完成，结余资金收回。</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 xml:space="preserve">18.农林水支出(类)农业农村(款)行业业务管理(项)年初预算为18,517,000.00元，支出决算为 20,736,909.69元，完成年初预算的111.98%，决算数大于年初预算数的主要原因是年中追加项目经费。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19.农林水支出(类)农业农村(款)农业生产发展(项)年初预算为0.00元，支出决算为47,830,000.00元，决算数大于年初预算数的主要原因是年中追加项目经费。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20.农林水支出(类)农业农村(款)农产品加工与促销(项)年初预算为1,740,000.00元，支出决算为5,324,806.50元，完成年初预算的306.02%，决算数大于年初预算数的主要原因是年中追加项目经费。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21.农林水支出(类)农业农村(款)农村社会事业(项)年初预算为101,200,000.00元，支出决算为109,199,762.23元，完成年初预算的107.90%，决算数大于年初预算数的主要原因是年中追加一般债项目资金。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22. 农林水支出(类)农业农村(款)农业资源保护修复与利用(项)年初预算为0元，追加</w:t>
      </w:r>
      <w:r>
        <w:rPr>
          <w:rFonts w:ascii="Times New Roman" w:hAnsi="Times New Roman" w:eastAsia="仿宋_GB2312" w:cs="仿宋_GB2312"/>
          <w:sz w:val="30"/>
          <w:szCs w:val="30"/>
        </w:rPr>
        <w:t>预算</w:t>
      </w:r>
      <w:r>
        <w:rPr>
          <w:rFonts w:hint="eastAsia" w:ascii="Times New Roman" w:hAnsi="Times New Roman" w:eastAsia="仿宋_GB2312" w:cs="仿宋_GB2312"/>
          <w:sz w:val="30"/>
          <w:szCs w:val="30"/>
        </w:rPr>
        <w:t xml:space="preserve">15,107,866.87元，支出决算为15,107,866.87元，决算数等于追加预算数的主要原因是年中追加项目经费。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23.农林水支出(类)农业农村(款)渔业发展(项)年初预算为20,820,000.00元，支出决算为24,522,249.60元，完成年初预算的117.78%，决算数大于年初预算数的主要原因是使用部分中央财政项目结转资金。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24.农林水支出(类)农业农村(款)农田建设(项)年初预算为124,880,000.00元，支出决算为124,880,000.00元，完成年初预算的100%，决算数等于预算数的</w:t>
      </w:r>
      <w:r>
        <w:rPr>
          <w:rFonts w:ascii="Times New Roman" w:hAnsi="Times New Roman" w:eastAsia="仿宋_GB2312" w:cs="仿宋_GB2312"/>
          <w:sz w:val="30"/>
          <w:szCs w:val="30"/>
        </w:rPr>
        <w:t>主要</w:t>
      </w:r>
      <w:r>
        <w:rPr>
          <w:rFonts w:hint="eastAsia" w:ascii="Times New Roman" w:hAnsi="Times New Roman" w:eastAsia="仿宋_GB2312" w:cs="仿宋_GB2312"/>
          <w:sz w:val="30"/>
          <w:szCs w:val="30"/>
        </w:rPr>
        <w:t>原因</w:t>
      </w:r>
      <w:r>
        <w:rPr>
          <w:rFonts w:ascii="Times New Roman" w:hAnsi="Times New Roman" w:eastAsia="仿宋_GB2312" w:cs="仿宋_GB2312"/>
          <w:sz w:val="30"/>
          <w:szCs w:val="30"/>
        </w:rPr>
        <w:t>是严格按照预算使用资金</w:t>
      </w: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25.农林水支出(类)农业农村(款)其他农业农村支出(项)年初预算为2,040,000.00元，支出决算为7,412,208.60元，完成年初预算的363.34%，决算数大于年初预算数的主要原因是年中追加项目经费。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26.农林水支出(类)水利(款)农村水利(项)年初预算为0.00元，支出决算为21,000.00元，决算数大于年初预算数的主要原因是使用上年度中央财政结转资金支出。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27.农林水支出(类)普惠金融发展支出(款)农业保险保费补贴(项)年初预算为4,484,000.00元，支出决算为22,404,000.00元，完成年初预算的499.64%，决算数大于年初预算数的主要原因是年中追加项目经费。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28.农林水支出(类)普惠金融发展支出(款)创业担保贷款贴息及奖补(项)年初预算为0.00元，追加预算为37,190,000.00元，支出决算为37,190,000.00元，决算数等于追加预算数的主要原因是年中收到的中央财政项目经费。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29.农林水支出(类)普惠金融发展支出(款)其他普惠金融发展支出(项)年初预算为15,333,000.00元，支出决算为22,063,300.00元，完成年初预算的143.89%，决算数大于年初预算数的主要原因是年中追加项目经费。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30.债务付息支出(类)地方政府一般债务付息支出(款)地方政府一般债券付息支出(项)年初预算为117,840,807.00元，支出决算为117,840,807.00元，完成年初预算的100%，决算数等于预算数的</w:t>
      </w:r>
      <w:r>
        <w:rPr>
          <w:rFonts w:ascii="Times New Roman" w:hAnsi="Times New Roman" w:eastAsia="仿宋_GB2312" w:cs="仿宋_GB2312"/>
          <w:sz w:val="30"/>
          <w:szCs w:val="30"/>
        </w:rPr>
        <w:t>主要</w:t>
      </w:r>
      <w:r>
        <w:rPr>
          <w:rFonts w:hint="eastAsia" w:ascii="Times New Roman" w:hAnsi="Times New Roman" w:eastAsia="仿宋_GB2312" w:cs="仿宋_GB2312"/>
          <w:sz w:val="30"/>
          <w:szCs w:val="30"/>
        </w:rPr>
        <w:t>原因</w:t>
      </w:r>
      <w:r>
        <w:rPr>
          <w:rFonts w:ascii="Times New Roman" w:hAnsi="Times New Roman" w:eastAsia="仿宋_GB2312" w:cs="仿宋_GB2312"/>
          <w:sz w:val="30"/>
          <w:szCs w:val="30"/>
        </w:rPr>
        <w:t>是严格按照预算使用资金</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天津市农业农村委员会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465,960,139.11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年度相比增加13,195,452.35元，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人员变动按照实际</w:t>
      </w:r>
      <w:r>
        <w:rPr>
          <w:rFonts w:ascii="Times New Roman" w:hAnsi="Times New Roman" w:eastAsia="仿宋_GB2312" w:cs="仿宋_GB2312"/>
          <w:sz w:val="30"/>
          <w:szCs w:val="30"/>
        </w:rPr>
        <w:t>执行</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423,747,935.56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42,212,203.55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天津市农业农村委员会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61,828,023.44</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61,828,023.44</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年度相比，政府性基金财政拨款支出增加55,262,207.44元，增长841.67%，</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增加了农业生产发展、农业农村生态环境支出等项目资金。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天津市农业农村委员会2023年度无国有资本经营预算财政拨款收入、支出和结转结余。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1,721,000.00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1,617,038.22</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103,961.78</w:t>
      </w:r>
      <w:r>
        <w:rPr>
          <w:rFonts w:hint="eastAsia" w:ascii="Times New Roman" w:hAnsi="Times New Roman" w:eastAsia="仿宋_GB2312" w:cs="仿宋_GB2312"/>
          <w:kern w:val="0"/>
          <w:sz w:val="30"/>
          <w:szCs w:val="30"/>
        </w:rPr>
        <w:t>元，完成预算的93.96</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5,269.05元，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0.32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认真贯彻落实市委、市政府“过紧日子”精神，压减不必要</w:t>
      </w:r>
      <w:r>
        <w:rPr>
          <w:rFonts w:hint="eastAsia" w:ascii="Times New Roman" w:hAnsi="Times New Roman" w:eastAsia="仿宋_GB2312" w:cs="仿宋_GB2312"/>
          <w:sz w:val="30"/>
          <w:szCs w:val="30"/>
          <w:lang w:eastAsia="zh-CN"/>
        </w:rPr>
        <w:t>三公</w:t>
      </w:r>
      <w:r>
        <w:rPr>
          <w:rFonts w:hint="eastAsia" w:ascii="Times New Roman" w:hAnsi="Times New Roman" w:eastAsia="仿宋_GB2312" w:cs="仿宋_GB2312"/>
          <w:sz w:val="30"/>
          <w:szCs w:val="30"/>
        </w:rPr>
        <w:t>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92,000.00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72,640.35</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19,359.65</w:t>
      </w:r>
      <w:r>
        <w:rPr>
          <w:rFonts w:hint="eastAsia" w:ascii="Times New Roman" w:hAnsi="Times New Roman" w:eastAsia="仿宋_GB2312" w:cs="仿宋_GB2312"/>
          <w:kern w:val="0"/>
          <w:sz w:val="30"/>
          <w:szCs w:val="30"/>
        </w:rPr>
        <w:t>元，完成预算的78.96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72,640.35元，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进一步压减无实质内容的出访</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2022年无出国任务。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个，出国</w:t>
      </w:r>
      <w:r>
        <w:rPr>
          <w:rFonts w:ascii="Times New Roman" w:hAnsi="Times New Roman" w:eastAsia="仿宋_GB2312" w:cs="Times New Roman"/>
          <w:kern w:val="0"/>
          <w:sz w:val="30"/>
          <w:szCs w:val="30"/>
        </w:rPr>
        <w:t>7</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1,579,000.00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1,519,999.87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59,000.13</w:t>
      </w:r>
      <w:r>
        <w:rPr>
          <w:rFonts w:hint="eastAsia" w:ascii="Times New Roman" w:hAnsi="Times New Roman" w:eastAsia="仿宋_GB2312" w:cs="仿宋_GB2312"/>
          <w:kern w:val="0"/>
          <w:sz w:val="30"/>
          <w:szCs w:val="30"/>
        </w:rPr>
        <w:t>元，完成预算的96.26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95,920.40元，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落实市委、市政府“过紧日子”精神，压减</w:t>
      </w:r>
      <w:r>
        <w:rPr>
          <w:rFonts w:hint="eastAsia" w:ascii="Times New Roman" w:hAnsi="Times New Roman" w:eastAsia="仿宋_GB2312" w:cs="仿宋_GB2312"/>
          <w:sz w:val="30"/>
          <w:szCs w:val="30"/>
          <w:lang w:eastAsia="zh-CN"/>
        </w:rPr>
        <w:t>公车购置及运维的不必要</w:t>
      </w:r>
      <w:r>
        <w:rPr>
          <w:rFonts w:hint="eastAsia" w:ascii="Times New Roman" w:hAnsi="Times New Roman" w:eastAsia="仿宋_GB2312" w:cs="仿宋_GB2312"/>
          <w:sz w:val="30"/>
          <w:szCs w:val="30"/>
        </w:rPr>
        <w:t>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1,579,000.00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1,519,999.87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59,000.13</w:t>
      </w:r>
      <w:r>
        <w:rPr>
          <w:rFonts w:hint="eastAsia" w:ascii="Times New Roman" w:hAnsi="Times New Roman" w:eastAsia="仿宋_GB2312" w:cs="仿宋_GB2312"/>
          <w:kern w:val="0"/>
          <w:sz w:val="30"/>
          <w:szCs w:val="30"/>
        </w:rPr>
        <w:t>元，完成预算的96.26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95,920.40元，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5.94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落实市委、市政府“过紧日子”精神，压减</w:t>
      </w:r>
      <w:r>
        <w:rPr>
          <w:rFonts w:hint="eastAsia" w:ascii="Times New Roman" w:hAnsi="Times New Roman" w:eastAsia="仿宋_GB2312" w:cs="仿宋_GB2312"/>
          <w:sz w:val="30"/>
          <w:szCs w:val="30"/>
          <w:lang w:eastAsia="zh-CN"/>
        </w:rPr>
        <w:t>公车运维的</w:t>
      </w:r>
      <w:r>
        <w:rPr>
          <w:rFonts w:hint="eastAsia" w:ascii="Times New Roman" w:hAnsi="Times New Roman" w:eastAsia="仿宋_GB2312" w:cs="仿宋_GB2312"/>
          <w:sz w:val="30"/>
          <w:szCs w:val="30"/>
        </w:rPr>
        <w:t>不必要支出。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153</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24,398.00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25,602.00</w:t>
      </w:r>
      <w:r>
        <w:rPr>
          <w:rFonts w:hint="eastAsia" w:ascii="Times New Roman" w:hAnsi="Times New Roman" w:eastAsia="仿宋_GB2312" w:cs="仿宋_GB2312"/>
          <w:kern w:val="0"/>
          <w:sz w:val="30"/>
          <w:szCs w:val="30"/>
        </w:rPr>
        <w:t>元，完成预算的48.8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18,011.00元，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281.99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主要原因是落实市委、市政府“过紧日子”精神，进一步压减</w:t>
      </w:r>
      <w:r>
        <w:rPr>
          <w:rFonts w:hint="eastAsia" w:ascii="Times New Roman" w:hAnsi="Times New Roman" w:eastAsia="仿宋_GB2312" w:cs="仿宋_GB2312"/>
          <w:sz w:val="30"/>
          <w:szCs w:val="30"/>
          <w:lang w:eastAsia="zh-CN"/>
        </w:rPr>
        <w:t>公务接待活动的不必要</w:t>
      </w:r>
      <w:r>
        <w:rPr>
          <w:rFonts w:hint="eastAsia" w:ascii="Times New Roman" w:hAnsi="Times New Roman" w:eastAsia="仿宋_GB2312" w:cs="仿宋_GB2312"/>
          <w:sz w:val="30"/>
          <w:szCs w:val="30"/>
        </w:rPr>
        <w:t>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接待各省市来津调研任务增加。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21</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209</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天津市农业农村委员会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18,227,716.67</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年减少1,328,020.45元，降低6.79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人员变动按</w:t>
      </w:r>
      <w:r>
        <w:rPr>
          <w:rFonts w:ascii="Times New Roman" w:hAnsi="Times New Roman" w:eastAsia="仿宋_GB2312" w:cs="仿宋_GB2312"/>
          <w:sz w:val="30"/>
          <w:szCs w:val="30"/>
        </w:rPr>
        <w:t>实际执行。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天津市农业农村委员会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125,766,923.33</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59,098,295.75</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8,325,487.00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58,343,140.58</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90,957,321.70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63.98%</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63,743,413.70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50.68%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83.67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93.69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57.78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日，天津市农业农村委员会共有车辆</w:t>
      </w:r>
      <w:r>
        <w:rPr>
          <w:rFonts w:hint="eastAsia" w:ascii="Times New Roman" w:hAnsi="Times New Roman" w:eastAsia="仿宋_GB2312" w:cs="Times New Roman"/>
          <w:kern w:val="0"/>
          <w:sz w:val="30"/>
          <w:szCs w:val="30"/>
        </w:rPr>
        <w:t>123</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120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其他公务用车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79</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 xml:space="preserve"> 根据预算绩效管理要求，天津市农业农村委员会2023年度已对111个市级项目开展绩效自评，涉及金额 360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332,168.3</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本部门2023年度</w:t>
      </w:r>
      <w:r>
        <w:rPr>
          <w:rFonts w:ascii="Times New Roman" w:hAnsi="Times New Roman" w:eastAsia="仿宋_GB2312" w:cs="仿宋_GB2312"/>
          <w:sz w:val="30"/>
          <w:szCs w:val="30"/>
        </w:rPr>
        <w:t>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天津市农业农村委员会不属于乡、镇、街级单位，不涉及公开2023年度教育、医疗卫生、社会保障和就业、住房保障、涉农补贴等民生支出情况。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C6260"/>
    <w:rsid w:val="000D4B98"/>
    <w:rsid w:val="00127EFA"/>
    <w:rsid w:val="00142888"/>
    <w:rsid w:val="00152EEB"/>
    <w:rsid w:val="00153077"/>
    <w:rsid w:val="00167CB7"/>
    <w:rsid w:val="001A0E4F"/>
    <w:rsid w:val="001B5C3C"/>
    <w:rsid w:val="001C0399"/>
    <w:rsid w:val="001D587E"/>
    <w:rsid w:val="002124F6"/>
    <w:rsid w:val="00264B59"/>
    <w:rsid w:val="002A4997"/>
    <w:rsid w:val="002B2830"/>
    <w:rsid w:val="002E6086"/>
    <w:rsid w:val="00302490"/>
    <w:rsid w:val="003227B2"/>
    <w:rsid w:val="003536BE"/>
    <w:rsid w:val="003B25FB"/>
    <w:rsid w:val="00406E63"/>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8F78F1"/>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D671A"/>
    <w:rsid w:val="00BF3E85"/>
    <w:rsid w:val="00BF697A"/>
    <w:rsid w:val="00C52E77"/>
    <w:rsid w:val="00C65A44"/>
    <w:rsid w:val="00C76AC3"/>
    <w:rsid w:val="00C83EB4"/>
    <w:rsid w:val="00D4505A"/>
    <w:rsid w:val="00D65B41"/>
    <w:rsid w:val="00DC3234"/>
    <w:rsid w:val="00DC3CD0"/>
    <w:rsid w:val="00DD60B5"/>
    <w:rsid w:val="00E31BEB"/>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603EF6"/>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22C72"/>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EBA3765"/>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1551</Words>
  <Characters>8841</Characters>
  <Lines>73</Lines>
  <Paragraphs>20</Paragraphs>
  <TotalTime>14</TotalTime>
  <ScaleCrop>false</ScaleCrop>
  <LinksUpToDate>false</LinksUpToDate>
  <CharactersWithSpaces>10372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2024-07-31T02:24:00Z</dcterms:created>
  <dc:creator>office</dc:creator>
  <cp:lastModifiedBy>Dell</cp:lastModifiedBy>
  <dcterms:modified xsi:type="dcterms:W3CDTF">2024-09-02T02:44:36Z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