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天津市北辰区人民法院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天津市北辰区人民法院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北辰区人民法院作为国家审判机关，依法独立行使审判权，审判工作受天津市高级人民法院、天津市中级人民法院的监督、指导。其主要职责是：1、依法审判由基层人民法院管辖或由上级人民法院指定管辖的刑事、民事、行政等一审案件。2、受理不服本院生效裁定的各类申诉和再审申请，对其中确有错误并已经发生法律效力的判决、裁定进行再审。3、依法审判由同级人民检察院按照审判监督程序提出的抗诉案件。4、依法行使司法执行权和司法决定权。5、依法决定法律赔偿。6、针对案件审理中发现的问题提出司法建议。7、对本院的法官和其他工作人员进行思想政治教育，组织专业培训；按照权限管理法官和其他工作人员。8、负责本院的纪检、监察工作。9、负责本院业务经费、物资装备的使用和管理。10、承办其他应由本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天津市北辰区人民法院内设18个职能处室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天津市北辰区人民法院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天津市北辰区人民法院(本级)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77,376,357.46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72,464,414.24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5,792,714.84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2,848,256.42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4,038,720.38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81,415,077.84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81,105,385.50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309,692.34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81,415,077.84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81,415,077.84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81,415,077.84</w:t>
            </w:r>
          </w:p>
        </w:tc>
        <w:tc>
          <w:tcPr>
            <w:tcW w:w="1240" w:type="dxa"/>
            <w:tcBorders/>
            <w:vAlign w:val="center"/>
          </w:tcPr>
          <w:p>
            <w:pPr>
              <w:snapToGrid w:val="0"/>
              <w:jc w:val="right"/>
            </w:pPr>
            <w:r>
              <w:rPr>
                <w:rFonts w:ascii="宋体" w:eastAsia="宋体" w:hAnsi="宋体" w:cs="宋体"/>
                <w:b w:val="0"/>
                <w:i w:val="0"/>
                <w:color w:val="000000"/>
                <w:sz w:val="14"/>
              </w:rPr>
              <w:t xml:space="preserve">77,376,357.46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4,038,720.38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72,774,106.58</w:t>
            </w:r>
          </w:p>
        </w:tc>
        <w:tc>
          <w:tcPr>
            <w:tcW w:w="1240" w:type="dxa"/>
            <w:tcBorders/>
            <w:vAlign w:val="center"/>
          </w:tcPr>
          <w:p>
            <w:pPr>
              <w:snapToGrid w:val="0"/>
              <w:jc w:val="right"/>
            </w:pPr>
            <w:r>
              <w:rPr>
                <w:rFonts w:ascii="宋体" w:eastAsia="宋体" w:hAnsi="宋体" w:cs="宋体"/>
                <w:b w:val="0"/>
                <w:i w:val="0"/>
                <w:color w:val="000000"/>
                <w:sz w:val="14"/>
              </w:rPr>
              <w:t xml:space="preserve">68,735,386.20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4,038,720.38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72,774,106.58</w:t>
            </w:r>
          </w:p>
        </w:tc>
        <w:tc>
          <w:tcPr>
            <w:tcW w:w="1240" w:type="dxa"/>
            <w:tcBorders/>
            <w:vAlign w:val="center"/>
          </w:tcPr>
          <w:p>
            <w:pPr>
              <w:snapToGrid w:val="0"/>
              <w:jc w:val="right"/>
            </w:pPr>
            <w:r>
              <w:rPr>
                <w:rFonts w:ascii="宋体" w:eastAsia="宋体" w:hAnsi="宋体" w:cs="宋体"/>
                <w:b w:val="0"/>
                <w:i w:val="0"/>
                <w:color w:val="000000"/>
                <w:sz w:val="14"/>
              </w:rPr>
              <w:t xml:space="preserve">68,735,386.20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4,038,720.38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63,825,184.88</w:t>
            </w:r>
          </w:p>
        </w:tc>
        <w:tc>
          <w:tcPr>
            <w:tcW w:w="1240" w:type="dxa"/>
            <w:tcBorders/>
            <w:vAlign w:val="center"/>
          </w:tcPr>
          <w:p>
            <w:pPr>
              <w:snapToGrid w:val="0"/>
              <w:jc w:val="right"/>
            </w:pPr>
            <w:r>
              <w:rPr>
                <w:rFonts w:ascii="宋体" w:eastAsia="宋体" w:hAnsi="宋体" w:cs="宋体"/>
                <w:b w:val="0"/>
                <w:i w:val="0"/>
                <w:color w:val="000000"/>
                <w:sz w:val="14"/>
              </w:rPr>
              <w:t xml:space="preserve">63,821,178.50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4,006.38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8,710,603.70</w:t>
            </w:r>
          </w:p>
        </w:tc>
        <w:tc>
          <w:tcPr>
            <w:tcW w:w="1240" w:type="dxa"/>
            <w:tcBorders/>
            <w:vAlign w:val="center"/>
          </w:tcPr>
          <w:p>
            <w:pPr>
              <w:snapToGrid w:val="0"/>
              <w:jc w:val="right"/>
            </w:pPr>
            <w:r>
              <w:rPr>
                <w:rFonts w:ascii="宋体" w:eastAsia="宋体" w:hAnsi="宋体" w:cs="宋体"/>
                <w:b w:val="0"/>
                <w:i w:val="0"/>
                <w:color w:val="000000"/>
                <w:sz w:val="14"/>
              </w:rPr>
              <w:t xml:space="preserve">4,675,889.70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4,034,714.00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238,318.00</w:t>
            </w:r>
          </w:p>
        </w:tc>
        <w:tc>
          <w:tcPr>
            <w:tcW w:w="1240" w:type="dxa"/>
            <w:tcBorders/>
            <w:vAlign w:val="center"/>
          </w:tcPr>
          <w:p>
            <w:pPr>
              <w:snapToGrid w:val="0"/>
              <w:jc w:val="right"/>
            </w:pPr>
            <w:r>
              <w:rPr>
                <w:rFonts w:ascii="宋体" w:eastAsia="宋体" w:hAnsi="宋体" w:cs="宋体"/>
                <w:b w:val="0"/>
                <w:i w:val="0"/>
                <w:color w:val="000000"/>
                <w:sz w:val="14"/>
              </w:rPr>
              <w:t xml:space="preserve">238,318.00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5,792,714.84</w:t>
            </w:r>
          </w:p>
        </w:tc>
        <w:tc>
          <w:tcPr>
            <w:tcW w:w="1240" w:type="dxa"/>
            <w:tcBorders/>
            <w:vAlign w:val="center"/>
          </w:tcPr>
          <w:p>
            <w:pPr>
              <w:snapToGrid w:val="0"/>
              <w:jc w:val="right"/>
            </w:pPr>
            <w:r>
              <w:rPr>
                <w:rFonts w:ascii="宋体" w:eastAsia="宋体" w:hAnsi="宋体" w:cs="宋体"/>
                <w:b w:val="0"/>
                <w:i w:val="0"/>
                <w:color w:val="000000"/>
                <w:sz w:val="14"/>
              </w:rPr>
              <w:t xml:space="preserve">5,792,714.84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5,792,714.84</w:t>
            </w:r>
          </w:p>
        </w:tc>
        <w:tc>
          <w:tcPr>
            <w:tcW w:w="1240" w:type="dxa"/>
            <w:tcBorders/>
            <w:vAlign w:val="center"/>
          </w:tcPr>
          <w:p>
            <w:pPr>
              <w:snapToGrid w:val="0"/>
              <w:jc w:val="right"/>
            </w:pPr>
            <w:r>
              <w:rPr>
                <w:rFonts w:ascii="宋体" w:eastAsia="宋体" w:hAnsi="宋体" w:cs="宋体"/>
                <w:b w:val="0"/>
                <w:i w:val="0"/>
                <w:color w:val="000000"/>
                <w:sz w:val="14"/>
              </w:rPr>
              <w:t xml:space="preserve">5,792,714.84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3,797,658.88</w:t>
            </w:r>
          </w:p>
        </w:tc>
        <w:tc>
          <w:tcPr>
            <w:tcW w:w="1240" w:type="dxa"/>
            <w:tcBorders/>
            <w:vAlign w:val="center"/>
          </w:tcPr>
          <w:p>
            <w:pPr>
              <w:snapToGrid w:val="0"/>
              <w:jc w:val="right"/>
            </w:pPr>
            <w:r>
              <w:rPr>
                <w:rFonts w:ascii="宋体" w:eastAsia="宋体" w:hAnsi="宋体" w:cs="宋体"/>
                <w:b w:val="0"/>
                <w:i w:val="0"/>
                <w:color w:val="000000"/>
                <w:sz w:val="14"/>
              </w:rPr>
              <w:t xml:space="preserve">3,797,658.88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1,995,055.96</w:t>
            </w:r>
          </w:p>
        </w:tc>
        <w:tc>
          <w:tcPr>
            <w:tcW w:w="1240" w:type="dxa"/>
            <w:tcBorders/>
            <w:vAlign w:val="center"/>
          </w:tcPr>
          <w:p>
            <w:pPr>
              <w:snapToGrid w:val="0"/>
              <w:jc w:val="right"/>
            </w:pPr>
            <w:r>
              <w:rPr>
                <w:rFonts w:ascii="宋体" w:eastAsia="宋体" w:hAnsi="宋体" w:cs="宋体"/>
                <w:b w:val="0"/>
                <w:i w:val="0"/>
                <w:color w:val="000000"/>
                <w:sz w:val="14"/>
              </w:rPr>
              <w:t xml:space="preserve">1,995,055.96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2,848,256.42</w:t>
            </w:r>
          </w:p>
        </w:tc>
        <w:tc>
          <w:tcPr>
            <w:tcW w:w="1240" w:type="dxa"/>
            <w:tcBorders/>
            <w:vAlign w:val="center"/>
          </w:tcPr>
          <w:p>
            <w:pPr>
              <w:snapToGrid w:val="0"/>
              <w:jc w:val="right"/>
            </w:pPr>
            <w:r>
              <w:rPr>
                <w:rFonts w:ascii="宋体" w:eastAsia="宋体" w:hAnsi="宋体" w:cs="宋体"/>
                <w:b w:val="0"/>
                <w:i w:val="0"/>
                <w:color w:val="000000"/>
                <w:sz w:val="14"/>
              </w:rPr>
              <w:t xml:space="preserve">2,848,256.42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2,848,256.42</w:t>
            </w:r>
          </w:p>
        </w:tc>
        <w:tc>
          <w:tcPr>
            <w:tcW w:w="1240" w:type="dxa"/>
            <w:tcBorders/>
            <w:vAlign w:val="center"/>
          </w:tcPr>
          <w:p>
            <w:pPr>
              <w:snapToGrid w:val="0"/>
              <w:jc w:val="right"/>
            </w:pPr>
            <w:r>
              <w:rPr>
                <w:rFonts w:ascii="宋体" w:eastAsia="宋体" w:hAnsi="宋体" w:cs="宋体"/>
                <w:b w:val="0"/>
                <w:i w:val="0"/>
                <w:color w:val="000000"/>
                <w:sz w:val="14"/>
              </w:rPr>
              <w:t xml:space="preserve">2,848,256.42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2,373,549.06</w:t>
            </w:r>
          </w:p>
        </w:tc>
        <w:tc>
          <w:tcPr>
            <w:tcW w:w="1240" w:type="dxa"/>
            <w:tcBorders/>
            <w:vAlign w:val="center"/>
          </w:tcPr>
          <w:p>
            <w:pPr>
              <w:snapToGrid w:val="0"/>
              <w:jc w:val="right"/>
            </w:pPr>
            <w:r>
              <w:rPr>
                <w:rFonts w:ascii="宋体" w:eastAsia="宋体" w:hAnsi="宋体" w:cs="宋体"/>
                <w:b w:val="0"/>
                <w:i w:val="0"/>
                <w:color w:val="000000"/>
                <w:sz w:val="14"/>
              </w:rPr>
              <w:t xml:space="preserve">2,373,549.06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474,707.36</w:t>
            </w:r>
          </w:p>
        </w:tc>
        <w:tc>
          <w:tcPr>
            <w:tcW w:w="1240" w:type="dxa"/>
            <w:tcBorders/>
            <w:vAlign w:val="center"/>
          </w:tcPr>
          <w:p>
            <w:pPr>
              <w:snapToGrid w:val="0"/>
              <w:jc w:val="right"/>
            </w:pPr>
            <w:r>
              <w:rPr>
                <w:rFonts w:ascii="宋体" w:eastAsia="宋体" w:hAnsi="宋体" w:cs="宋体"/>
                <w:b w:val="0"/>
                <w:i w:val="0"/>
                <w:color w:val="000000"/>
                <w:sz w:val="14"/>
              </w:rPr>
              <w:t xml:space="preserve">474,707.36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81,415,077.84</w:t>
            </w:r>
          </w:p>
        </w:tc>
        <w:tc>
          <w:tcPr>
            <w:tcW w:w="580" w:type="dxa"/>
            <w:tcBorders/>
            <w:vAlign w:val="center"/>
          </w:tcPr>
          <w:p>
            <w:pPr>
              <w:snapToGrid w:val="0"/>
              <w:jc w:val="right"/>
            </w:pPr>
            <w:r>
              <w:rPr>
                <w:rFonts w:ascii="宋体" w:eastAsia="宋体" w:hAnsi="宋体" w:cs="宋体"/>
                <w:b w:val="0"/>
                <w:i w:val="0"/>
                <w:color w:val="000000"/>
                <w:sz w:val="9"/>
              </w:rPr>
              <w:t xml:space="preserve">81,415,077.84</w:t>
            </w:r>
          </w:p>
        </w:tc>
        <w:tc>
          <w:tcPr>
            <w:tcW w:w="580" w:type="dxa"/>
            <w:tcBorders/>
            <w:vAlign w:val="center"/>
          </w:tcPr>
          <w:p>
            <w:pPr>
              <w:snapToGrid w:val="0"/>
              <w:jc w:val="right"/>
            </w:pPr>
            <w:r>
              <w:rPr>
                <w:rFonts w:ascii="宋体" w:eastAsia="宋体" w:hAnsi="宋体" w:cs="宋体"/>
                <w:b w:val="0"/>
                <w:i w:val="0"/>
                <w:color w:val="000000"/>
                <w:sz w:val="9"/>
              </w:rPr>
              <w:t xml:space="preserve">77,376,357.46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4,038,720.38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215101</w:t>
            </w:r>
          </w:p>
        </w:tc>
        <w:tc>
          <w:tcPr>
            <w:tcW w:w="1520" w:type="dxa"/>
            <w:tcBorders/>
            <w:vAlign w:val="center"/>
          </w:tcPr>
          <w:p>
            <w:pPr>
              <w:snapToGrid w:val="0"/>
              <w:jc w:val="center"/>
            </w:pPr>
            <w:r>
              <w:rPr>
                <w:rFonts w:ascii="宋体" w:eastAsia="宋体" w:hAnsi="宋体" w:cs="宋体"/>
                <w:b w:val="0"/>
                <w:i w:val="0"/>
                <w:color w:val="000000"/>
                <w:sz w:val="9"/>
              </w:rPr>
              <w:t xml:space="preserve">天津市北辰区人民法院</w:t>
            </w:r>
          </w:p>
        </w:tc>
        <w:tc>
          <w:tcPr>
            <w:tcW w:w="580" w:type="dxa"/>
            <w:tcBorders/>
            <w:vAlign w:val="center"/>
          </w:tcPr>
          <w:p>
            <w:pPr>
              <w:snapToGrid w:val="0"/>
              <w:jc w:val="right"/>
            </w:pPr>
            <w:r>
              <w:rPr>
                <w:rFonts w:ascii="宋体" w:eastAsia="宋体" w:hAnsi="宋体" w:cs="宋体"/>
                <w:b w:val="0"/>
                <w:i w:val="0"/>
                <w:color w:val="000000"/>
                <w:sz w:val="9"/>
              </w:rPr>
              <w:t xml:space="preserve">81,415,077.84</w:t>
            </w:r>
          </w:p>
        </w:tc>
        <w:tc>
          <w:tcPr>
            <w:tcW w:w="580" w:type="dxa"/>
            <w:tcBorders/>
            <w:vAlign w:val="center"/>
          </w:tcPr>
          <w:p>
            <w:pPr>
              <w:snapToGrid w:val="0"/>
              <w:jc w:val="right"/>
            </w:pPr>
            <w:r>
              <w:rPr>
                <w:rFonts w:ascii="宋体" w:eastAsia="宋体" w:hAnsi="宋体" w:cs="宋体"/>
                <w:b w:val="0"/>
                <w:i w:val="0"/>
                <w:color w:val="000000"/>
                <w:sz w:val="9"/>
              </w:rPr>
              <w:t xml:space="preserve">81,415,077.84</w:t>
            </w:r>
          </w:p>
        </w:tc>
        <w:tc>
          <w:tcPr>
            <w:tcW w:w="580" w:type="dxa"/>
            <w:tcBorders/>
            <w:vAlign w:val="center"/>
          </w:tcPr>
          <w:p>
            <w:pPr>
              <w:snapToGrid w:val="0"/>
              <w:jc w:val="right"/>
            </w:pPr>
            <w:r>
              <w:rPr>
                <w:rFonts w:ascii="宋体" w:eastAsia="宋体" w:hAnsi="宋体" w:cs="宋体"/>
                <w:b w:val="0"/>
                <w:i w:val="0"/>
                <w:color w:val="000000"/>
                <w:sz w:val="9"/>
              </w:rPr>
              <w:t xml:space="preserve">77,376,357.46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4,038,720.38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81,105,385.50</w:t>
            </w:r>
          </w:p>
        </w:tc>
        <w:tc>
          <w:tcPr>
            <w:tcW w:w="1320" w:type="dxa"/>
            <w:tcBorders/>
            <w:vAlign w:val="center"/>
          </w:tcPr>
          <w:p>
            <w:pPr>
              <w:snapToGrid w:val="0"/>
              <w:jc w:val="right"/>
            </w:pPr>
            <w:r>
              <w:rPr>
                <w:rFonts w:ascii="宋体" w:eastAsia="宋体" w:hAnsi="宋体" w:cs="宋体"/>
                <w:b w:val="0"/>
                <w:i w:val="0"/>
                <w:color w:val="000000"/>
                <w:sz w:val="15"/>
              </w:rPr>
              <w:t xml:space="preserve">72,466,156.14</w:t>
            </w:r>
          </w:p>
        </w:tc>
        <w:tc>
          <w:tcPr>
            <w:tcW w:w="1320" w:type="dxa"/>
            <w:tcBorders/>
            <w:vAlign w:val="center"/>
          </w:tcPr>
          <w:p>
            <w:pPr>
              <w:snapToGrid w:val="0"/>
              <w:jc w:val="right"/>
            </w:pPr>
            <w:r>
              <w:rPr>
                <w:rFonts w:ascii="宋体" w:eastAsia="宋体" w:hAnsi="宋体" w:cs="宋体"/>
                <w:b w:val="0"/>
                <w:i w:val="0"/>
                <w:color w:val="000000"/>
                <w:sz w:val="15"/>
              </w:rPr>
              <w:t xml:space="preserve">8,639,229.36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72,464,414.24</w:t>
            </w:r>
          </w:p>
        </w:tc>
        <w:tc>
          <w:tcPr>
            <w:tcW w:w="1320" w:type="dxa"/>
            <w:tcBorders/>
            <w:vAlign w:val="center"/>
          </w:tcPr>
          <w:p>
            <w:pPr>
              <w:snapToGrid w:val="0"/>
              <w:jc w:val="right"/>
            </w:pPr>
            <w:r>
              <w:rPr>
                <w:rFonts w:ascii="宋体" w:eastAsia="宋体" w:hAnsi="宋体" w:cs="宋体"/>
                <w:b w:val="0"/>
                <w:i w:val="0"/>
                <w:color w:val="000000"/>
                <w:sz w:val="15"/>
              </w:rPr>
              <w:t xml:space="preserve">63,825,184.88</w:t>
            </w:r>
          </w:p>
        </w:tc>
        <w:tc>
          <w:tcPr>
            <w:tcW w:w="1320" w:type="dxa"/>
            <w:tcBorders/>
            <w:vAlign w:val="center"/>
          </w:tcPr>
          <w:p>
            <w:pPr>
              <w:snapToGrid w:val="0"/>
              <w:jc w:val="right"/>
            </w:pPr>
            <w:r>
              <w:rPr>
                <w:rFonts w:ascii="宋体" w:eastAsia="宋体" w:hAnsi="宋体" w:cs="宋体"/>
                <w:b w:val="0"/>
                <w:i w:val="0"/>
                <w:color w:val="000000"/>
                <w:sz w:val="15"/>
              </w:rPr>
              <w:t xml:space="preserve">8,639,229.36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72,464,414.24</w:t>
            </w:r>
          </w:p>
        </w:tc>
        <w:tc>
          <w:tcPr>
            <w:tcW w:w="1320" w:type="dxa"/>
            <w:tcBorders/>
            <w:vAlign w:val="center"/>
          </w:tcPr>
          <w:p>
            <w:pPr>
              <w:snapToGrid w:val="0"/>
              <w:jc w:val="right"/>
            </w:pPr>
            <w:r>
              <w:rPr>
                <w:rFonts w:ascii="宋体" w:eastAsia="宋体" w:hAnsi="宋体" w:cs="宋体"/>
                <w:b w:val="0"/>
                <w:i w:val="0"/>
                <w:color w:val="000000"/>
                <w:sz w:val="15"/>
              </w:rPr>
              <w:t xml:space="preserve">63,825,184.88</w:t>
            </w:r>
          </w:p>
        </w:tc>
        <w:tc>
          <w:tcPr>
            <w:tcW w:w="1320" w:type="dxa"/>
            <w:tcBorders/>
            <w:vAlign w:val="center"/>
          </w:tcPr>
          <w:p>
            <w:pPr>
              <w:snapToGrid w:val="0"/>
              <w:jc w:val="right"/>
            </w:pPr>
            <w:r>
              <w:rPr>
                <w:rFonts w:ascii="宋体" w:eastAsia="宋体" w:hAnsi="宋体" w:cs="宋体"/>
                <w:b w:val="0"/>
                <w:i w:val="0"/>
                <w:color w:val="000000"/>
                <w:sz w:val="15"/>
              </w:rPr>
              <w:t xml:space="preserve">8,639,229.36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63,825,184.88</w:t>
            </w:r>
          </w:p>
        </w:tc>
        <w:tc>
          <w:tcPr>
            <w:tcW w:w="1320" w:type="dxa"/>
            <w:tcBorders/>
            <w:vAlign w:val="center"/>
          </w:tcPr>
          <w:p>
            <w:pPr>
              <w:snapToGrid w:val="0"/>
              <w:jc w:val="right"/>
            </w:pPr>
            <w:r>
              <w:rPr>
                <w:rFonts w:ascii="宋体" w:eastAsia="宋体" w:hAnsi="宋体" w:cs="宋体"/>
                <w:b w:val="0"/>
                <w:i w:val="0"/>
                <w:color w:val="000000"/>
                <w:sz w:val="15"/>
              </w:rPr>
              <w:t xml:space="preserve">63,825,184.88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8,400,911.36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8,400,911.36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238,318.00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238,318.00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5,792,714.84</w:t>
            </w:r>
          </w:p>
        </w:tc>
        <w:tc>
          <w:tcPr>
            <w:tcW w:w="1320" w:type="dxa"/>
            <w:tcBorders/>
            <w:vAlign w:val="center"/>
          </w:tcPr>
          <w:p>
            <w:pPr>
              <w:snapToGrid w:val="0"/>
              <w:jc w:val="right"/>
            </w:pPr>
            <w:r>
              <w:rPr>
                <w:rFonts w:ascii="宋体" w:eastAsia="宋体" w:hAnsi="宋体" w:cs="宋体"/>
                <w:b w:val="0"/>
                <w:i w:val="0"/>
                <w:color w:val="000000"/>
                <w:sz w:val="15"/>
              </w:rPr>
              <w:t xml:space="preserve">5,792,714.84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5,792,714.84</w:t>
            </w:r>
          </w:p>
        </w:tc>
        <w:tc>
          <w:tcPr>
            <w:tcW w:w="1320" w:type="dxa"/>
            <w:tcBorders/>
            <w:vAlign w:val="center"/>
          </w:tcPr>
          <w:p>
            <w:pPr>
              <w:snapToGrid w:val="0"/>
              <w:jc w:val="right"/>
            </w:pPr>
            <w:r>
              <w:rPr>
                <w:rFonts w:ascii="宋体" w:eastAsia="宋体" w:hAnsi="宋体" w:cs="宋体"/>
                <w:b w:val="0"/>
                <w:i w:val="0"/>
                <w:color w:val="000000"/>
                <w:sz w:val="15"/>
              </w:rPr>
              <w:t xml:space="preserve">5,792,714.84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3,797,658.88</w:t>
            </w:r>
          </w:p>
        </w:tc>
        <w:tc>
          <w:tcPr>
            <w:tcW w:w="1320" w:type="dxa"/>
            <w:tcBorders/>
            <w:vAlign w:val="center"/>
          </w:tcPr>
          <w:p>
            <w:pPr>
              <w:snapToGrid w:val="0"/>
              <w:jc w:val="right"/>
            </w:pPr>
            <w:r>
              <w:rPr>
                <w:rFonts w:ascii="宋体" w:eastAsia="宋体" w:hAnsi="宋体" w:cs="宋体"/>
                <w:b w:val="0"/>
                <w:i w:val="0"/>
                <w:color w:val="000000"/>
                <w:sz w:val="15"/>
              </w:rPr>
              <w:t xml:space="preserve">3,797,658.88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1,995,055.96</w:t>
            </w:r>
          </w:p>
        </w:tc>
        <w:tc>
          <w:tcPr>
            <w:tcW w:w="1320" w:type="dxa"/>
            <w:tcBorders/>
            <w:vAlign w:val="center"/>
          </w:tcPr>
          <w:p>
            <w:pPr>
              <w:snapToGrid w:val="0"/>
              <w:jc w:val="right"/>
            </w:pPr>
            <w:r>
              <w:rPr>
                <w:rFonts w:ascii="宋体" w:eastAsia="宋体" w:hAnsi="宋体" w:cs="宋体"/>
                <w:b w:val="0"/>
                <w:i w:val="0"/>
                <w:color w:val="000000"/>
                <w:sz w:val="15"/>
              </w:rPr>
              <w:t xml:space="preserve">1,995,055.96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2,848,256.42</w:t>
            </w:r>
          </w:p>
        </w:tc>
        <w:tc>
          <w:tcPr>
            <w:tcW w:w="1320" w:type="dxa"/>
            <w:tcBorders/>
            <w:vAlign w:val="center"/>
          </w:tcPr>
          <w:p>
            <w:pPr>
              <w:snapToGrid w:val="0"/>
              <w:jc w:val="right"/>
            </w:pPr>
            <w:r>
              <w:rPr>
                <w:rFonts w:ascii="宋体" w:eastAsia="宋体" w:hAnsi="宋体" w:cs="宋体"/>
                <w:b w:val="0"/>
                <w:i w:val="0"/>
                <w:color w:val="000000"/>
                <w:sz w:val="15"/>
              </w:rPr>
              <w:t xml:space="preserve">2,848,256.42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2,848,256.42</w:t>
            </w:r>
          </w:p>
        </w:tc>
        <w:tc>
          <w:tcPr>
            <w:tcW w:w="1320" w:type="dxa"/>
            <w:tcBorders/>
            <w:vAlign w:val="center"/>
          </w:tcPr>
          <w:p>
            <w:pPr>
              <w:snapToGrid w:val="0"/>
              <w:jc w:val="right"/>
            </w:pPr>
            <w:r>
              <w:rPr>
                <w:rFonts w:ascii="宋体" w:eastAsia="宋体" w:hAnsi="宋体" w:cs="宋体"/>
                <w:b w:val="0"/>
                <w:i w:val="0"/>
                <w:color w:val="000000"/>
                <w:sz w:val="15"/>
              </w:rPr>
              <w:t xml:space="preserve">2,848,256.42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2,373,549.06</w:t>
            </w:r>
          </w:p>
        </w:tc>
        <w:tc>
          <w:tcPr>
            <w:tcW w:w="1320" w:type="dxa"/>
            <w:tcBorders/>
            <w:vAlign w:val="center"/>
          </w:tcPr>
          <w:p>
            <w:pPr>
              <w:snapToGrid w:val="0"/>
              <w:jc w:val="right"/>
            </w:pPr>
            <w:r>
              <w:rPr>
                <w:rFonts w:ascii="宋体" w:eastAsia="宋体" w:hAnsi="宋体" w:cs="宋体"/>
                <w:b w:val="0"/>
                <w:i w:val="0"/>
                <w:color w:val="000000"/>
                <w:sz w:val="15"/>
              </w:rPr>
              <w:t xml:space="preserve">2,373,549.06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474,707.36</w:t>
            </w:r>
          </w:p>
        </w:tc>
        <w:tc>
          <w:tcPr>
            <w:tcW w:w="1320" w:type="dxa"/>
            <w:tcBorders/>
            <w:vAlign w:val="center"/>
          </w:tcPr>
          <w:p>
            <w:pPr>
              <w:snapToGrid w:val="0"/>
              <w:jc w:val="right"/>
            </w:pPr>
            <w:r>
              <w:rPr>
                <w:rFonts w:ascii="宋体" w:eastAsia="宋体" w:hAnsi="宋体" w:cs="宋体"/>
                <w:b w:val="0"/>
                <w:i w:val="0"/>
                <w:color w:val="000000"/>
                <w:sz w:val="15"/>
              </w:rPr>
              <w:t xml:space="preserve">474,707.36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77,376,357.46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68,735,386.20</w:t>
            </w:r>
          </w:p>
        </w:tc>
        <w:tc>
          <w:tcPr>
            <w:tcW w:w="1420" w:type="dxa"/>
            <w:tcBorders/>
            <w:vAlign w:val="center"/>
          </w:tcPr>
          <w:p>
            <w:pPr>
              <w:snapToGrid w:val="0"/>
              <w:jc w:val="right"/>
            </w:pPr>
            <w:r>
              <w:rPr>
                <w:rFonts w:ascii="宋体" w:eastAsia="宋体" w:hAnsi="宋体" w:cs="宋体"/>
                <w:b w:val="0"/>
                <w:i w:val="0"/>
                <w:color w:val="000000"/>
                <w:sz w:val="16"/>
              </w:rPr>
              <w:t xml:space="preserve">68,735,386.20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5,792,714.84</w:t>
            </w:r>
          </w:p>
        </w:tc>
        <w:tc>
          <w:tcPr>
            <w:tcW w:w="1420" w:type="dxa"/>
            <w:tcBorders/>
            <w:vAlign w:val="center"/>
          </w:tcPr>
          <w:p>
            <w:pPr>
              <w:snapToGrid w:val="0"/>
              <w:jc w:val="right"/>
            </w:pPr>
            <w:r>
              <w:rPr>
                <w:rFonts w:ascii="宋体" w:eastAsia="宋体" w:hAnsi="宋体" w:cs="宋体"/>
                <w:b w:val="0"/>
                <w:i w:val="0"/>
                <w:color w:val="000000"/>
                <w:sz w:val="16"/>
              </w:rPr>
              <w:t xml:space="preserve">5,792,714.84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2,848,256.42</w:t>
            </w:r>
          </w:p>
        </w:tc>
        <w:tc>
          <w:tcPr>
            <w:tcW w:w="1420" w:type="dxa"/>
            <w:tcBorders/>
            <w:vAlign w:val="center"/>
          </w:tcPr>
          <w:p>
            <w:pPr>
              <w:snapToGrid w:val="0"/>
              <w:jc w:val="right"/>
            </w:pPr>
            <w:r>
              <w:rPr>
                <w:rFonts w:ascii="宋体" w:eastAsia="宋体" w:hAnsi="宋体" w:cs="宋体"/>
                <w:b w:val="0"/>
                <w:i w:val="0"/>
                <w:color w:val="000000"/>
                <w:sz w:val="16"/>
              </w:rPr>
              <w:t xml:space="preserve">2,848,256.42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77,376,357.46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77,376,357.46</w:t>
            </w:r>
          </w:p>
        </w:tc>
        <w:tc>
          <w:tcPr>
            <w:tcW w:w="1420" w:type="dxa"/>
            <w:tcBorders/>
            <w:vAlign w:val="center"/>
          </w:tcPr>
          <w:p>
            <w:pPr>
              <w:snapToGrid w:val="0"/>
              <w:jc w:val="right"/>
            </w:pPr>
            <w:r>
              <w:rPr>
                <w:rFonts w:ascii="宋体" w:eastAsia="宋体" w:hAnsi="宋体" w:cs="宋体"/>
                <w:b w:val="0"/>
                <w:i w:val="0"/>
                <w:color w:val="000000"/>
                <w:sz w:val="16"/>
              </w:rPr>
              <w:t xml:space="preserve">77,376,357.46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77,376,357.46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77,376,357.46</w:t>
            </w:r>
          </w:p>
        </w:tc>
        <w:tc>
          <w:tcPr>
            <w:tcW w:w="1420" w:type="dxa"/>
            <w:tcBorders/>
            <w:vAlign w:val="center"/>
          </w:tcPr>
          <w:p>
            <w:pPr>
              <w:snapToGrid w:val="0"/>
              <w:jc w:val="right"/>
            </w:pPr>
            <w:r>
              <w:rPr>
                <w:rFonts w:ascii="宋体" w:eastAsia="宋体" w:hAnsi="宋体" w:cs="宋体"/>
                <w:b w:val="0"/>
                <w:i w:val="0"/>
                <w:color w:val="000000"/>
                <w:sz w:val="16"/>
              </w:rPr>
              <w:t xml:space="preserve">77,376,357.46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77,376,357.46</w:t>
            </w:r>
          </w:p>
        </w:tc>
        <w:tc>
          <w:tcPr>
            <w:tcW w:w="1720" w:type="dxa"/>
            <w:tcBorders/>
            <w:vAlign w:val="center"/>
          </w:tcPr>
          <w:p>
            <w:pPr>
              <w:snapToGrid w:val="0"/>
              <w:jc w:val="right"/>
            </w:pPr>
            <w:r>
              <w:rPr>
                <w:rFonts w:ascii="宋体" w:eastAsia="宋体" w:hAnsi="宋体" w:cs="宋体"/>
                <w:b w:val="0"/>
                <w:i w:val="0"/>
                <w:color w:val="000000"/>
                <w:sz w:val="20"/>
              </w:rPr>
              <w:t xml:space="preserve">72,462,149.76</w:t>
            </w:r>
          </w:p>
        </w:tc>
        <w:tc>
          <w:tcPr>
            <w:tcW w:w="1720" w:type="dxa"/>
            <w:tcBorders/>
            <w:vAlign w:val="center"/>
          </w:tcPr>
          <w:p>
            <w:pPr>
              <w:snapToGrid w:val="0"/>
              <w:jc w:val="right"/>
            </w:pPr>
            <w:r>
              <w:rPr>
                <w:rFonts w:ascii="宋体" w:eastAsia="宋体" w:hAnsi="宋体" w:cs="宋体"/>
                <w:b w:val="0"/>
                <w:i w:val="0"/>
                <w:color w:val="000000"/>
                <w:sz w:val="20"/>
              </w:rPr>
              <w:t xml:space="preserve">62,596,486.00</w:t>
            </w:r>
          </w:p>
        </w:tc>
        <w:tc>
          <w:tcPr>
            <w:tcW w:w="1720" w:type="dxa"/>
            <w:tcBorders/>
            <w:vAlign w:val="center"/>
          </w:tcPr>
          <w:p>
            <w:pPr>
              <w:snapToGrid w:val="0"/>
              <w:jc w:val="right"/>
            </w:pPr>
            <w:r>
              <w:rPr>
                <w:rFonts w:ascii="宋体" w:eastAsia="宋体" w:hAnsi="宋体" w:cs="宋体"/>
                <w:b w:val="0"/>
                <w:i w:val="0"/>
                <w:color w:val="000000"/>
                <w:sz w:val="20"/>
              </w:rPr>
              <w:t xml:space="preserve">9,865,663.76</w:t>
            </w:r>
          </w:p>
        </w:tc>
        <w:tc>
          <w:tcPr>
            <w:tcW w:w="1698" w:type="dxa"/>
            <w:tcBorders/>
            <w:vAlign w:val="center"/>
          </w:tcPr>
          <w:p>
            <w:pPr>
              <w:snapToGrid w:val="0"/>
              <w:jc w:val="right"/>
            </w:pPr>
            <w:r>
              <w:rPr>
                <w:rFonts w:ascii="宋体" w:eastAsia="宋体" w:hAnsi="宋体" w:cs="宋体"/>
                <w:b w:val="0"/>
                <w:i w:val="0"/>
                <w:color w:val="000000"/>
                <w:sz w:val="20"/>
              </w:rPr>
              <w:t xml:space="preserve">4,914,207.70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68,735,386.20</w:t>
            </w:r>
          </w:p>
        </w:tc>
        <w:tc>
          <w:tcPr>
            <w:tcW w:w="1720" w:type="dxa"/>
            <w:tcBorders/>
            <w:vAlign w:val="center"/>
          </w:tcPr>
          <w:p>
            <w:pPr>
              <w:snapToGrid w:val="0"/>
              <w:jc w:val="right"/>
            </w:pPr>
            <w:r>
              <w:rPr>
                <w:rFonts w:ascii="宋体" w:eastAsia="宋体" w:hAnsi="宋体" w:cs="宋体"/>
                <w:b w:val="0"/>
                <w:i w:val="0"/>
                <w:color w:val="000000"/>
                <w:sz w:val="20"/>
              </w:rPr>
              <w:t xml:space="preserve">63,821,178.50</w:t>
            </w:r>
          </w:p>
        </w:tc>
        <w:tc>
          <w:tcPr>
            <w:tcW w:w="1720" w:type="dxa"/>
            <w:tcBorders/>
            <w:vAlign w:val="center"/>
          </w:tcPr>
          <w:p>
            <w:pPr>
              <w:snapToGrid w:val="0"/>
              <w:jc w:val="right"/>
            </w:pPr>
            <w:r>
              <w:rPr>
                <w:rFonts w:ascii="宋体" w:eastAsia="宋体" w:hAnsi="宋体" w:cs="宋体"/>
                <w:b w:val="0"/>
                <w:i w:val="0"/>
                <w:color w:val="000000"/>
                <w:sz w:val="20"/>
              </w:rPr>
              <w:t xml:space="preserve">53,955,514.74</w:t>
            </w:r>
          </w:p>
        </w:tc>
        <w:tc>
          <w:tcPr>
            <w:tcW w:w="1720" w:type="dxa"/>
            <w:tcBorders/>
            <w:vAlign w:val="center"/>
          </w:tcPr>
          <w:p>
            <w:pPr>
              <w:snapToGrid w:val="0"/>
              <w:jc w:val="right"/>
            </w:pPr>
            <w:r>
              <w:rPr>
                <w:rFonts w:ascii="宋体" w:eastAsia="宋体" w:hAnsi="宋体" w:cs="宋体"/>
                <w:b w:val="0"/>
                <w:i w:val="0"/>
                <w:color w:val="000000"/>
                <w:sz w:val="20"/>
              </w:rPr>
              <w:t xml:space="preserve">9,865,663.76</w:t>
            </w:r>
          </w:p>
        </w:tc>
        <w:tc>
          <w:tcPr>
            <w:tcW w:w="1698" w:type="dxa"/>
            <w:tcBorders/>
            <w:vAlign w:val="center"/>
          </w:tcPr>
          <w:p>
            <w:pPr>
              <w:snapToGrid w:val="0"/>
              <w:jc w:val="right"/>
            </w:pPr>
            <w:r>
              <w:rPr>
                <w:rFonts w:ascii="宋体" w:eastAsia="宋体" w:hAnsi="宋体" w:cs="宋体"/>
                <w:b w:val="0"/>
                <w:i w:val="0"/>
                <w:color w:val="000000"/>
                <w:sz w:val="20"/>
              </w:rPr>
              <w:t xml:space="preserve">4,914,207.70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68,735,386.20</w:t>
            </w:r>
          </w:p>
        </w:tc>
        <w:tc>
          <w:tcPr>
            <w:tcW w:w="1720" w:type="dxa"/>
            <w:tcBorders/>
            <w:vAlign w:val="center"/>
          </w:tcPr>
          <w:p>
            <w:pPr>
              <w:snapToGrid w:val="0"/>
              <w:jc w:val="right"/>
            </w:pPr>
            <w:r>
              <w:rPr>
                <w:rFonts w:ascii="宋体" w:eastAsia="宋体" w:hAnsi="宋体" w:cs="宋体"/>
                <w:b w:val="0"/>
                <w:i w:val="0"/>
                <w:color w:val="000000"/>
                <w:sz w:val="20"/>
              </w:rPr>
              <w:t xml:space="preserve">63,821,178.50</w:t>
            </w:r>
          </w:p>
        </w:tc>
        <w:tc>
          <w:tcPr>
            <w:tcW w:w="1720" w:type="dxa"/>
            <w:tcBorders/>
            <w:vAlign w:val="center"/>
          </w:tcPr>
          <w:p>
            <w:pPr>
              <w:snapToGrid w:val="0"/>
              <w:jc w:val="right"/>
            </w:pPr>
            <w:r>
              <w:rPr>
                <w:rFonts w:ascii="宋体" w:eastAsia="宋体" w:hAnsi="宋体" w:cs="宋体"/>
                <w:b w:val="0"/>
                <w:i w:val="0"/>
                <w:color w:val="000000"/>
                <w:sz w:val="20"/>
              </w:rPr>
              <w:t xml:space="preserve">53,955,514.74</w:t>
            </w:r>
          </w:p>
        </w:tc>
        <w:tc>
          <w:tcPr>
            <w:tcW w:w="1720" w:type="dxa"/>
            <w:tcBorders/>
            <w:vAlign w:val="center"/>
          </w:tcPr>
          <w:p>
            <w:pPr>
              <w:snapToGrid w:val="0"/>
              <w:jc w:val="right"/>
            </w:pPr>
            <w:r>
              <w:rPr>
                <w:rFonts w:ascii="宋体" w:eastAsia="宋体" w:hAnsi="宋体" w:cs="宋体"/>
                <w:b w:val="0"/>
                <w:i w:val="0"/>
                <w:color w:val="000000"/>
                <w:sz w:val="20"/>
              </w:rPr>
              <w:t xml:space="preserve">9,865,663.76</w:t>
            </w:r>
          </w:p>
        </w:tc>
        <w:tc>
          <w:tcPr>
            <w:tcW w:w="1698" w:type="dxa"/>
            <w:tcBorders/>
            <w:vAlign w:val="center"/>
          </w:tcPr>
          <w:p>
            <w:pPr>
              <w:snapToGrid w:val="0"/>
              <w:jc w:val="right"/>
            </w:pPr>
            <w:r>
              <w:rPr>
                <w:rFonts w:ascii="宋体" w:eastAsia="宋体" w:hAnsi="宋体" w:cs="宋体"/>
                <w:b w:val="0"/>
                <w:i w:val="0"/>
                <w:color w:val="000000"/>
                <w:sz w:val="20"/>
              </w:rPr>
              <w:t xml:space="preserve">4,914,207.70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63,821,178.50</w:t>
            </w:r>
          </w:p>
        </w:tc>
        <w:tc>
          <w:tcPr>
            <w:tcW w:w="1720" w:type="dxa"/>
            <w:tcBorders/>
            <w:vAlign w:val="center"/>
          </w:tcPr>
          <w:p>
            <w:pPr>
              <w:snapToGrid w:val="0"/>
              <w:jc w:val="right"/>
            </w:pPr>
            <w:r>
              <w:rPr>
                <w:rFonts w:ascii="宋体" w:eastAsia="宋体" w:hAnsi="宋体" w:cs="宋体"/>
                <w:b w:val="0"/>
                <w:i w:val="0"/>
                <w:color w:val="000000"/>
                <w:sz w:val="20"/>
              </w:rPr>
              <w:t xml:space="preserve">63,821,178.50</w:t>
            </w:r>
          </w:p>
        </w:tc>
        <w:tc>
          <w:tcPr>
            <w:tcW w:w="1720" w:type="dxa"/>
            <w:tcBorders/>
            <w:vAlign w:val="center"/>
          </w:tcPr>
          <w:p>
            <w:pPr>
              <w:snapToGrid w:val="0"/>
              <w:jc w:val="right"/>
            </w:pPr>
            <w:r>
              <w:rPr>
                <w:rFonts w:ascii="宋体" w:eastAsia="宋体" w:hAnsi="宋体" w:cs="宋体"/>
                <w:b w:val="0"/>
                <w:i w:val="0"/>
                <w:color w:val="000000"/>
                <w:sz w:val="20"/>
              </w:rPr>
              <w:t xml:space="preserve">53,955,514.74</w:t>
            </w:r>
          </w:p>
        </w:tc>
        <w:tc>
          <w:tcPr>
            <w:tcW w:w="1720" w:type="dxa"/>
            <w:tcBorders/>
            <w:vAlign w:val="center"/>
          </w:tcPr>
          <w:p>
            <w:pPr>
              <w:snapToGrid w:val="0"/>
              <w:jc w:val="right"/>
            </w:pPr>
            <w:r>
              <w:rPr>
                <w:rFonts w:ascii="宋体" w:eastAsia="宋体" w:hAnsi="宋体" w:cs="宋体"/>
                <w:b w:val="0"/>
                <w:i w:val="0"/>
                <w:color w:val="000000"/>
                <w:sz w:val="20"/>
              </w:rPr>
              <w:t xml:space="preserve">9,865,663.76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4,675,889.70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4,675,889.70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238,318.00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238,318.00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5,792,714.84</w:t>
            </w:r>
          </w:p>
        </w:tc>
        <w:tc>
          <w:tcPr>
            <w:tcW w:w="1720" w:type="dxa"/>
            <w:tcBorders/>
            <w:vAlign w:val="center"/>
          </w:tcPr>
          <w:p>
            <w:pPr>
              <w:snapToGrid w:val="0"/>
              <w:jc w:val="right"/>
            </w:pPr>
            <w:r>
              <w:rPr>
                <w:rFonts w:ascii="宋体" w:eastAsia="宋体" w:hAnsi="宋体" w:cs="宋体"/>
                <w:b w:val="0"/>
                <w:i w:val="0"/>
                <w:color w:val="000000"/>
                <w:sz w:val="20"/>
              </w:rPr>
              <w:t xml:space="preserve">5,792,714.84</w:t>
            </w:r>
          </w:p>
        </w:tc>
        <w:tc>
          <w:tcPr>
            <w:tcW w:w="1720" w:type="dxa"/>
            <w:tcBorders/>
            <w:vAlign w:val="center"/>
          </w:tcPr>
          <w:p>
            <w:pPr>
              <w:snapToGrid w:val="0"/>
              <w:jc w:val="right"/>
            </w:pPr>
            <w:r>
              <w:rPr>
                <w:rFonts w:ascii="宋体" w:eastAsia="宋体" w:hAnsi="宋体" w:cs="宋体"/>
                <w:b w:val="0"/>
                <w:i w:val="0"/>
                <w:color w:val="000000"/>
                <w:sz w:val="20"/>
              </w:rPr>
              <w:t xml:space="preserve">5,792,714.84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5,792,714.84</w:t>
            </w:r>
          </w:p>
        </w:tc>
        <w:tc>
          <w:tcPr>
            <w:tcW w:w="1720" w:type="dxa"/>
            <w:tcBorders/>
            <w:vAlign w:val="center"/>
          </w:tcPr>
          <w:p>
            <w:pPr>
              <w:snapToGrid w:val="0"/>
              <w:jc w:val="right"/>
            </w:pPr>
            <w:r>
              <w:rPr>
                <w:rFonts w:ascii="宋体" w:eastAsia="宋体" w:hAnsi="宋体" w:cs="宋体"/>
                <w:b w:val="0"/>
                <w:i w:val="0"/>
                <w:color w:val="000000"/>
                <w:sz w:val="20"/>
              </w:rPr>
              <w:t xml:space="preserve">5,792,714.84</w:t>
            </w:r>
          </w:p>
        </w:tc>
        <w:tc>
          <w:tcPr>
            <w:tcW w:w="1720" w:type="dxa"/>
            <w:tcBorders/>
            <w:vAlign w:val="center"/>
          </w:tcPr>
          <w:p>
            <w:pPr>
              <w:snapToGrid w:val="0"/>
              <w:jc w:val="right"/>
            </w:pPr>
            <w:r>
              <w:rPr>
                <w:rFonts w:ascii="宋体" w:eastAsia="宋体" w:hAnsi="宋体" w:cs="宋体"/>
                <w:b w:val="0"/>
                <w:i w:val="0"/>
                <w:color w:val="000000"/>
                <w:sz w:val="20"/>
              </w:rPr>
              <w:t xml:space="preserve">5,792,714.84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3,797,658.88</w:t>
            </w:r>
          </w:p>
        </w:tc>
        <w:tc>
          <w:tcPr>
            <w:tcW w:w="1720" w:type="dxa"/>
            <w:tcBorders/>
            <w:vAlign w:val="center"/>
          </w:tcPr>
          <w:p>
            <w:pPr>
              <w:snapToGrid w:val="0"/>
              <w:jc w:val="right"/>
            </w:pPr>
            <w:r>
              <w:rPr>
                <w:rFonts w:ascii="宋体" w:eastAsia="宋体" w:hAnsi="宋体" w:cs="宋体"/>
                <w:b w:val="0"/>
                <w:i w:val="0"/>
                <w:color w:val="000000"/>
                <w:sz w:val="20"/>
              </w:rPr>
              <w:t xml:space="preserve">3,797,658.88</w:t>
            </w:r>
          </w:p>
        </w:tc>
        <w:tc>
          <w:tcPr>
            <w:tcW w:w="1720" w:type="dxa"/>
            <w:tcBorders/>
            <w:vAlign w:val="center"/>
          </w:tcPr>
          <w:p>
            <w:pPr>
              <w:snapToGrid w:val="0"/>
              <w:jc w:val="right"/>
            </w:pPr>
            <w:r>
              <w:rPr>
                <w:rFonts w:ascii="宋体" w:eastAsia="宋体" w:hAnsi="宋体" w:cs="宋体"/>
                <w:b w:val="0"/>
                <w:i w:val="0"/>
                <w:color w:val="000000"/>
                <w:sz w:val="20"/>
              </w:rPr>
              <w:t xml:space="preserve">3,797,658.88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1,995,055.96</w:t>
            </w:r>
          </w:p>
        </w:tc>
        <w:tc>
          <w:tcPr>
            <w:tcW w:w="1720" w:type="dxa"/>
            <w:tcBorders/>
            <w:vAlign w:val="center"/>
          </w:tcPr>
          <w:p>
            <w:pPr>
              <w:snapToGrid w:val="0"/>
              <w:jc w:val="right"/>
            </w:pPr>
            <w:r>
              <w:rPr>
                <w:rFonts w:ascii="宋体" w:eastAsia="宋体" w:hAnsi="宋体" w:cs="宋体"/>
                <w:b w:val="0"/>
                <w:i w:val="0"/>
                <w:color w:val="000000"/>
                <w:sz w:val="20"/>
              </w:rPr>
              <w:t xml:space="preserve">1,995,055.96</w:t>
            </w:r>
          </w:p>
        </w:tc>
        <w:tc>
          <w:tcPr>
            <w:tcW w:w="1720" w:type="dxa"/>
            <w:tcBorders/>
            <w:vAlign w:val="center"/>
          </w:tcPr>
          <w:p>
            <w:pPr>
              <w:snapToGrid w:val="0"/>
              <w:jc w:val="right"/>
            </w:pPr>
            <w:r>
              <w:rPr>
                <w:rFonts w:ascii="宋体" w:eastAsia="宋体" w:hAnsi="宋体" w:cs="宋体"/>
                <w:b w:val="0"/>
                <w:i w:val="0"/>
                <w:color w:val="000000"/>
                <w:sz w:val="20"/>
              </w:rPr>
              <w:t xml:space="preserve">1,995,055.96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2,848,256.42</w:t>
            </w:r>
          </w:p>
        </w:tc>
        <w:tc>
          <w:tcPr>
            <w:tcW w:w="1720" w:type="dxa"/>
            <w:tcBorders/>
            <w:vAlign w:val="center"/>
          </w:tcPr>
          <w:p>
            <w:pPr>
              <w:snapToGrid w:val="0"/>
              <w:jc w:val="right"/>
            </w:pPr>
            <w:r>
              <w:rPr>
                <w:rFonts w:ascii="宋体" w:eastAsia="宋体" w:hAnsi="宋体" w:cs="宋体"/>
                <w:b w:val="0"/>
                <w:i w:val="0"/>
                <w:color w:val="000000"/>
                <w:sz w:val="20"/>
              </w:rPr>
              <w:t xml:space="preserve">2,848,256.42</w:t>
            </w:r>
          </w:p>
        </w:tc>
        <w:tc>
          <w:tcPr>
            <w:tcW w:w="1720" w:type="dxa"/>
            <w:tcBorders/>
            <w:vAlign w:val="center"/>
          </w:tcPr>
          <w:p>
            <w:pPr>
              <w:snapToGrid w:val="0"/>
              <w:jc w:val="right"/>
            </w:pPr>
            <w:r>
              <w:rPr>
                <w:rFonts w:ascii="宋体" w:eastAsia="宋体" w:hAnsi="宋体" w:cs="宋体"/>
                <w:b w:val="0"/>
                <w:i w:val="0"/>
                <w:color w:val="000000"/>
                <w:sz w:val="20"/>
              </w:rPr>
              <w:t xml:space="preserve">2,848,256.42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2,848,256.42</w:t>
            </w:r>
          </w:p>
        </w:tc>
        <w:tc>
          <w:tcPr>
            <w:tcW w:w="1720" w:type="dxa"/>
            <w:tcBorders/>
            <w:vAlign w:val="center"/>
          </w:tcPr>
          <w:p>
            <w:pPr>
              <w:snapToGrid w:val="0"/>
              <w:jc w:val="right"/>
            </w:pPr>
            <w:r>
              <w:rPr>
                <w:rFonts w:ascii="宋体" w:eastAsia="宋体" w:hAnsi="宋体" w:cs="宋体"/>
                <w:b w:val="0"/>
                <w:i w:val="0"/>
                <w:color w:val="000000"/>
                <w:sz w:val="20"/>
              </w:rPr>
              <w:t xml:space="preserve">2,848,256.42</w:t>
            </w:r>
          </w:p>
        </w:tc>
        <w:tc>
          <w:tcPr>
            <w:tcW w:w="1720" w:type="dxa"/>
            <w:tcBorders/>
            <w:vAlign w:val="center"/>
          </w:tcPr>
          <w:p>
            <w:pPr>
              <w:snapToGrid w:val="0"/>
              <w:jc w:val="right"/>
            </w:pPr>
            <w:r>
              <w:rPr>
                <w:rFonts w:ascii="宋体" w:eastAsia="宋体" w:hAnsi="宋体" w:cs="宋体"/>
                <w:b w:val="0"/>
                <w:i w:val="0"/>
                <w:color w:val="000000"/>
                <w:sz w:val="20"/>
              </w:rPr>
              <w:t xml:space="preserve">2,848,256.42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2,373,549.06</w:t>
            </w:r>
          </w:p>
        </w:tc>
        <w:tc>
          <w:tcPr>
            <w:tcW w:w="1720" w:type="dxa"/>
            <w:tcBorders/>
            <w:vAlign w:val="center"/>
          </w:tcPr>
          <w:p>
            <w:pPr>
              <w:snapToGrid w:val="0"/>
              <w:jc w:val="right"/>
            </w:pPr>
            <w:r>
              <w:rPr>
                <w:rFonts w:ascii="宋体" w:eastAsia="宋体" w:hAnsi="宋体" w:cs="宋体"/>
                <w:b w:val="0"/>
                <w:i w:val="0"/>
                <w:color w:val="000000"/>
                <w:sz w:val="20"/>
              </w:rPr>
              <w:t xml:space="preserve">2,373,549.06</w:t>
            </w:r>
          </w:p>
        </w:tc>
        <w:tc>
          <w:tcPr>
            <w:tcW w:w="1720" w:type="dxa"/>
            <w:tcBorders/>
            <w:vAlign w:val="center"/>
          </w:tcPr>
          <w:p>
            <w:pPr>
              <w:snapToGrid w:val="0"/>
              <w:jc w:val="right"/>
            </w:pPr>
            <w:r>
              <w:rPr>
                <w:rFonts w:ascii="宋体" w:eastAsia="宋体" w:hAnsi="宋体" w:cs="宋体"/>
                <w:b w:val="0"/>
                <w:i w:val="0"/>
                <w:color w:val="000000"/>
                <w:sz w:val="20"/>
              </w:rPr>
              <w:t xml:space="preserve">2,373,549.06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474,707.36</w:t>
            </w:r>
          </w:p>
        </w:tc>
        <w:tc>
          <w:tcPr>
            <w:tcW w:w="1720" w:type="dxa"/>
            <w:tcBorders/>
            <w:vAlign w:val="center"/>
          </w:tcPr>
          <w:p>
            <w:pPr>
              <w:snapToGrid w:val="0"/>
              <w:jc w:val="right"/>
            </w:pPr>
            <w:r>
              <w:rPr>
                <w:rFonts w:ascii="宋体" w:eastAsia="宋体" w:hAnsi="宋体" w:cs="宋体"/>
                <w:b w:val="0"/>
                <w:i w:val="0"/>
                <w:color w:val="000000"/>
                <w:sz w:val="20"/>
              </w:rPr>
              <w:t xml:space="preserve">474,707.36</w:t>
            </w:r>
          </w:p>
        </w:tc>
        <w:tc>
          <w:tcPr>
            <w:tcW w:w="1720" w:type="dxa"/>
            <w:tcBorders/>
            <w:vAlign w:val="center"/>
          </w:tcPr>
          <w:p>
            <w:pPr>
              <w:snapToGrid w:val="0"/>
              <w:jc w:val="right"/>
            </w:pPr>
            <w:r>
              <w:rPr>
                <w:rFonts w:ascii="宋体" w:eastAsia="宋体" w:hAnsi="宋体" w:cs="宋体"/>
                <w:b w:val="0"/>
                <w:i w:val="0"/>
                <w:color w:val="000000"/>
                <w:sz w:val="20"/>
              </w:rPr>
              <w:t xml:space="preserve">474,707.36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62,219,004.56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9,120,733.76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8,877,835.08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239,800.00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11,977,124.43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744,930.00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15,734,928.84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233,000.00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74,992.66</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71,930.00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3,797,658.88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1,290,000.00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1,995,055.96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2,373,549.06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90,500.00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440,000.00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474,707.36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3,275,000.00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71,207.00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29,974.10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13,941,434.00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1,016,000.00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2,975,503.95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377,481.44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377,156.44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snapToGrid w:val="0"/>
              <w:jc w:val="right"/>
            </w:pPr>
            <w:r>
              <w:rPr>
                <w:rFonts w:ascii="宋体" w:eastAsia="宋体" w:hAnsi="宋体" w:cs="宋体"/>
                <w:b w:val="0"/>
                <w:i w:val="0"/>
                <w:color w:val="000000"/>
                <w:sz w:val="14"/>
              </w:rPr>
              <w:t xml:space="preserve">129,301.80</w:t>
            </w: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105,000.00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385,000.00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325.00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260,000.00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207,000.00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1,570,640.00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53,032.86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379,492.34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62,596,486.00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9,865,663.76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天津市北辰区人民法院2024年度政府性基金预算财政拨款收入支出决算表为空表。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天津市北辰区人民法院2024年国有资本经营预算财政拨款收入支出决算表为空表。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417,000.00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417,000.00</w:t>
            </w:r>
          </w:p>
        </w:tc>
        <w:tc>
          <w:tcPr>
            <w:tcW w:w="2200" w:type="dxa"/>
            <w:tcBorders/>
            <w:vAlign w:val="center"/>
          </w:tcPr>
          <w:p>
            <w:pPr>
              <w:snapToGrid w:val="0"/>
              <w:jc w:val="right"/>
            </w:pPr>
            <w:r>
              <w:rPr>
                <w:rFonts w:ascii="宋体" w:eastAsia="宋体" w:hAnsi="宋体" w:cs="宋体"/>
                <w:b w:val="0"/>
                <w:i w:val="0"/>
                <w:color w:val="000000"/>
                <w:sz w:val="24"/>
              </w:rPr>
              <w:t xml:space="preserve">210,000.00</w:t>
            </w:r>
          </w:p>
        </w:tc>
        <w:tc>
          <w:tcPr>
            <w:tcW w:w="2220" w:type="dxa"/>
            <w:tcBorders/>
            <w:vAlign w:val="center"/>
          </w:tcPr>
          <w:p>
            <w:pPr>
              <w:snapToGrid w:val="0"/>
              <w:jc w:val="right"/>
            </w:pPr>
            <w:r>
              <w:rPr>
                <w:rFonts w:ascii="宋体" w:eastAsia="宋体" w:hAnsi="宋体" w:cs="宋体"/>
                <w:b w:val="0"/>
                <w:i w:val="0"/>
                <w:color w:val="000000"/>
                <w:sz w:val="24"/>
              </w:rPr>
              <w:t xml:space="preserve">207,000.00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8,639,229.36</w:t>
            </w:r>
          </w:p>
        </w:tc>
        <w:tc>
          <w:tcPr>
            <w:tcW w:w="1380" w:type="dxa"/>
            <w:tcBorders/>
            <w:vAlign w:val="center"/>
          </w:tcPr>
          <w:p>
            <w:pPr>
              <w:snapToGrid w:val="0"/>
              <w:jc w:val="right"/>
            </w:pPr>
            <w:r>
              <w:rPr>
                <w:rFonts w:ascii="宋体" w:eastAsia="宋体" w:hAnsi="宋体" w:cs="宋体"/>
                <w:b w:val="0"/>
                <w:i w:val="0"/>
                <w:color w:val="000000"/>
                <w:sz w:val="16"/>
              </w:rPr>
              <w:t xml:space="preserve">4,914,207.70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3,725,021.66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8,639,229.36</w:t>
            </w:r>
          </w:p>
        </w:tc>
        <w:tc>
          <w:tcPr>
            <w:tcW w:w="1380" w:type="dxa"/>
            <w:tcBorders/>
            <w:vAlign w:val="center"/>
          </w:tcPr>
          <w:p>
            <w:pPr>
              <w:snapToGrid w:val="0"/>
              <w:jc w:val="right"/>
            </w:pPr>
            <w:r>
              <w:rPr>
                <w:rFonts w:ascii="宋体" w:eastAsia="宋体" w:hAnsi="宋体" w:cs="宋体"/>
                <w:b w:val="0"/>
                <w:i w:val="0"/>
                <w:color w:val="000000"/>
                <w:sz w:val="16"/>
              </w:rPr>
              <w:t xml:space="preserve">4,914,207.70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3,725,021.66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8,639,229.36</w:t>
            </w:r>
          </w:p>
        </w:tc>
        <w:tc>
          <w:tcPr>
            <w:tcW w:w="1380" w:type="dxa"/>
            <w:tcBorders/>
            <w:vAlign w:val="center"/>
          </w:tcPr>
          <w:p>
            <w:pPr>
              <w:snapToGrid w:val="0"/>
              <w:jc w:val="right"/>
            </w:pPr>
            <w:r>
              <w:rPr>
                <w:rFonts w:ascii="宋体" w:eastAsia="宋体" w:hAnsi="宋体" w:cs="宋体"/>
                <w:b w:val="0"/>
                <w:i w:val="0"/>
                <w:color w:val="000000"/>
                <w:sz w:val="16"/>
              </w:rPr>
              <w:t xml:space="preserve">4,914,207.70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3,725,021.66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8,400,911.36</w:t>
            </w:r>
          </w:p>
        </w:tc>
        <w:tc>
          <w:tcPr>
            <w:tcW w:w="1380" w:type="dxa"/>
            <w:tcBorders/>
            <w:vAlign w:val="center"/>
          </w:tcPr>
          <w:p>
            <w:pPr>
              <w:snapToGrid w:val="0"/>
              <w:jc w:val="right"/>
            </w:pPr>
            <w:r>
              <w:rPr>
                <w:rFonts w:ascii="宋体" w:eastAsia="宋体" w:hAnsi="宋体" w:cs="宋体"/>
                <w:b w:val="0"/>
                <w:i w:val="0"/>
                <w:color w:val="000000"/>
                <w:sz w:val="16"/>
              </w:rPr>
              <w:t xml:space="preserve">4,675,889.70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3,725,021.66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238,318.00</w:t>
            </w:r>
          </w:p>
        </w:tc>
        <w:tc>
          <w:tcPr>
            <w:tcW w:w="1380" w:type="dxa"/>
            <w:tcBorders/>
            <w:vAlign w:val="center"/>
          </w:tcPr>
          <w:p>
            <w:pPr>
              <w:snapToGrid w:val="0"/>
              <w:jc w:val="right"/>
            </w:pPr>
            <w:r>
              <w:rPr>
                <w:rFonts w:ascii="宋体" w:eastAsia="宋体" w:hAnsi="宋体" w:cs="宋体"/>
                <w:b w:val="0"/>
                <w:i w:val="0"/>
                <w:color w:val="000000"/>
                <w:sz w:val="16"/>
              </w:rPr>
              <w:t xml:space="preserve">238,318.00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天津市北辰区人民法院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81,415,077.84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增加4,919,694.18元，增长6.430%</w:t>
      </w:r>
      <w:r>
        <w:rPr>
          <w:rFonts w:eastAsia="仿宋_GB2312" w:hint="eastAsia"/>
          <w:sz w:val="30"/>
          <w:szCs w:val="30"/>
        </w:rPr>
        <w:t xml:space="preserve">，主要原因是</w:t>
      </w:r>
      <w:r>
        <w:rPr>
          <w:rFonts w:eastAsia="仿宋_GB2312" w:hint="eastAsia"/>
          <w:sz w:val="30"/>
          <w:szCs w:val="30"/>
        </w:rPr>
        <w:t xml:space="preserve">增加人员增加收支，本年度有新招录公务员、人员动态调整等情况，导致相应收入、支出增加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一般公共预算财政拨款收入77,376,357.46元、其他收入4,038,720.38元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公共安全支出72,464,414.24元、社会保障和就业支出5,792,714.84元、卫生健康支出2,848,256.42元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天津市北辰区人民法院</w:t>
      </w:r>
      <w:r>
        <w:rPr>
          <w:rFonts w:eastAsia="仿宋_GB2312" w:hint="eastAsia"/>
          <w:sz w:val="30"/>
          <w:szCs w:val="30"/>
        </w:rPr>
        <w:t xml:space="preserve">2024年度本年收入合计</w:t>
      </w:r>
      <w:r>
        <w:rPr>
          <w:rFonts w:eastAsia="仿宋_GB2312" w:hint="eastAsia"/>
          <w:sz w:val="30"/>
          <w:szCs w:val="30"/>
        </w:rPr>
        <w:t xml:space="preserve">81,415,077.84</w:t>
      </w:r>
      <w:r>
        <w:rPr>
          <w:rFonts w:eastAsia="仿宋_GB2312" w:hint="eastAsia"/>
          <w:sz w:val="30"/>
          <w:szCs w:val="30"/>
        </w:rPr>
        <w:t xml:space="preserve">元，与2023年度相比</w:t>
      </w:r>
      <w:r>
        <w:rPr>
          <w:rFonts w:eastAsia="仿宋_GB2312" w:hint="eastAsia"/>
          <w:sz w:val="30"/>
          <w:szCs w:val="30"/>
        </w:rPr>
        <w:t xml:space="preserve">增加4,919,694.18元，</w:t>
      </w:r>
      <w:r>
        <w:rPr>
          <w:rFonts w:eastAsia="仿宋_GB2312" w:hint="eastAsia"/>
          <w:sz w:val="30"/>
          <w:szCs w:val="30"/>
        </w:rPr>
        <w:t xml:space="preserve">主要原因是</w:t>
      </w:r>
      <w:r>
        <w:rPr>
          <w:rFonts w:eastAsia="仿宋_GB2312" w:hint="eastAsia"/>
          <w:sz w:val="30"/>
          <w:szCs w:val="30"/>
        </w:rPr>
        <w:t xml:space="preserve">增加人员增加收支，本年度有新招录公务员、人员动态调整等情况，导致经费收入增加</w:t>
      </w:r>
      <w:r>
        <w:rPr>
          <w:rFonts w:eastAsia="仿宋_GB2312" w:hint="eastAsia"/>
          <w:sz w:val="30"/>
          <w:szCs w:val="30"/>
        </w:rPr>
        <w:t xml:space="preserve">。其中：</w:t>
      </w:r>
      <w:r>
        <w:rPr>
          <w:rFonts w:eastAsia="仿宋_GB2312" w:hint="eastAsia"/>
          <w:sz w:val="30"/>
          <w:szCs w:val="30"/>
        </w:rPr>
        <w:t xml:space="preserve">一般公共预算财政拨款收入77,376,357.46元，占95.039%；其他收入4,038,720.38元，占4.961%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天津市北辰区人民法院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81,105,385.50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增加4,610,001.84元，</w:t>
      </w:r>
      <w:r>
        <w:rPr>
          <w:rFonts w:eastAsia="仿宋_GB2312" w:hint="eastAsia"/>
          <w:sz w:val="30"/>
          <w:szCs w:val="30"/>
        </w:rPr>
        <w:t xml:space="preserve">主要原因是</w:t>
      </w:r>
      <w:r>
        <w:rPr>
          <w:rFonts w:eastAsia="仿宋_GB2312" w:hint="eastAsia"/>
          <w:sz w:val="30"/>
          <w:szCs w:val="30"/>
        </w:rPr>
        <w:t xml:space="preserve">增加人员增加收支，本年度有新招录公务员、人员动态调整等情况，导致经费支出增加</w:t>
      </w:r>
      <w:r>
        <w:rPr>
          <w:rFonts w:eastAsia="仿宋_GB2312" w:hint="eastAsia"/>
          <w:sz w:val="30"/>
          <w:szCs w:val="30"/>
        </w:rPr>
        <w:t xml:space="preserve">。其中：</w:t>
      </w:r>
      <w:r>
        <w:rPr>
          <w:rFonts w:eastAsia="仿宋_GB2312" w:hint="eastAsia"/>
          <w:sz w:val="30"/>
          <w:szCs w:val="30"/>
        </w:rPr>
        <w:t xml:space="preserve">基本支出72,466,156.14元，占89.348%；项目支出8,639,229.36元，占10.652%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天津市北辰区人民法院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77,376,357.46</w:t>
      </w:r>
      <w:r>
        <w:rPr>
          <w:rFonts w:eastAsia="仿宋_GB2312" w:hint="eastAsia"/>
          <w:sz w:val="30"/>
          <w:szCs w:val="30"/>
        </w:rPr>
        <w:t xml:space="preserve">元。与2023年度相比，财政拨款收、支总计各</w:t>
      </w:r>
      <w:r>
        <w:rPr>
          <w:rFonts w:eastAsia="仿宋_GB2312" w:hint="eastAsia"/>
          <w:sz w:val="30"/>
          <w:szCs w:val="30"/>
        </w:rPr>
        <w:t xml:space="preserve">增加899,836.99元，增长1.177%，</w:t>
      </w:r>
      <w:r>
        <w:rPr>
          <w:rFonts w:eastAsia="仿宋_GB2312" w:hint="eastAsia"/>
          <w:sz w:val="30"/>
          <w:szCs w:val="30"/>
        </w:rPr>
        <w:t xml:space="preserve">主要原因是</w:t>
      </w:r>
      <w:r>
        <w:rPr>
          <w:rFonts w:eastAsia="仿宋_GB2312" w:hint="eastAsia"/>
          <w:sz w:val="30"/>
          <w:szCs w:val="30"/>
        </w:rPr>
        <w:t xml:space="preserve">增加人员增加收支，本年度有新招录公务员、人员动态调整等情况，导致财政拨款收入、支出增加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一般公共预算财政拨款77,376,357.46元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公共安全支出68,735,386.20元、社会保障和就业支出5,792,714.84元、卫生健康支出2,848,256.42元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天津市北辰区人民法院2024年度部门决算一般公共预算财政拨款支出合计77,376,357.46元，占本年支出合计的95.402%。与2023年度相比，一般公共预算财政拨款支出</w:t>
      </w:r>
      <w:r>
        <w:rPr>
          <w:rFonts w:eastAsia="仿宋_GB2312" w:hint="eastAsia"/>
          <w:sz w:val="30"/>
          <w:szCs w:val="30"/>
        </w:rPr>
        <w:t xml:space="preserve">增加899,836.99元</w:t>
      </w:r>
      <w:r>
        <w:rPr>
          <w:rFonts w:eastAsia="仿宋_GB2312" w:hint="eastAsia"/>
          <w:sz w:val="30"/>
          <w:szCs w:val="30"/>
        </w:rPr>
        <w:t xml:space="preserve">，增长1.177%</w:t>
      </w:r>
      <w:r>
        <w:rPr>
          <w:rFonts w:eastAsia="仿宋_GB2312" w:hint="eastAsia"/>
          <w:sz w:val="30"/>
          <w:szCs w:val="30"/>
        </w:rPr>
        <w:t xml:space="preserve">，主要原因是增加人员增加收支，本年度有新招录公务员、人员动态调整等情况，导致财政拨款支出增加。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2024年度一般公共预算财政拨款支出77,376,357.46元，主要用于以下方面：</w:t>
      </w:r>
      <w:r>
        <w:rPr>
          <w:rFonts w:eastAsia="仿宋_GB2312" w:hint="eastAsia"/>
          <w:sz w:val="30"/>
          <w:szCs w:val="30"/>
        </w:rPr>
        <w:t xml:space="preserve">公共安全支出（类）支出68,735,386.20元，占88.833%,社会保障和就业支出（类）支出5,792,714.84元，占7.486%,卫生健康支出（类）支出2,848,256.42元，占3.681%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2024年度一般公共预算财政拨款支出年初预算为70,420,000.00元，支出决算为77,376,357.46元</w:t>
      </w:r>
      <w:r>
        <w:rPr>
          <w:rFonts w:eastAsia="仿宋_GB2312" w:hint="eastAsia"/>
          <w:sz w:val="30"/>
          <w:szCs w:val="30"/>
        </w:rPr>
        <w:t xml:space="preserve">，完成年初预算的110.571%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1.公共安全支出（类）法院（款）行政运行（项）年初预算为57,035,000.00元，支出决算为63,821,178.50元，完成年初预算的111.898%，决算数大于预算数的主要原因是：增加人员增加支出，年中追加预算。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2.公共安全支出（类）法院（款）案件审判（项）年初预算为4,721,000.00元，支出决算为4,675,889.70元，完成年初预算的99.044%，决算数小于预算数的主要原因是：年中追加项目经费。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3.公共安全支出（类）法院（款）其他法院支出（项）年初预算为0.00元，支出决算为238,318.00元，决算数大于预算数的主要原因是：年中追加经费用于发放当年病故干部抚恤金。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3,851,000.00元，支出决算为3,797,658.88元，完成年初预算的98.615%，决算数小于预算数的主要原因是：由于人员变动导致保险缴费支出与年初预算存在细微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1,925,000.00元，支出决算为1,995,055.96元，完成年初预算的103.639%，决算数大于预算数的主要原因是：由于年底开展补记职业年金工作导致职业年金缴费支出决算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2,407,000.00元，支出决算为2,373,549.06元，完成年初预算的98.610%，决算数小于预算数的主要原因是：由于人员变动导致保险缴费支出与年初预算存在细微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481,000.00元，支出决算为474,707.36元，完成年初预算的98.692%，决算数小于预算数的主要原因是：由于人员变动导致保险缴费支出与年初预算存在细微差异。</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天津市北辰区人民法院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72,462,149.76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增加1,263,631.30元，</w:t>
      </w:r>
      <w:r>
        <w:rPr>
          <w:rFonts w:eastAsia="仿宋_GB2312" w:hint="eastAsia"/>
          <w:sz w:val="30"/>
          <w:szCs w:val="30"/>
        </w:rPr>
        <w:t xml:space="preserve">主要原因是</w:t>
      </w:r>
      <w:r>
        <w:rPr>
          <w:rFonts w:eastAsia="仿宋_GB2312" w:hint="eastAsia"/>
          <w:sz w:val="30"/>
          <w:szCs w:val="30"/>
        </w:rPr>
        <w:t xml:space="preserve">增加人员导致人员经费增加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人员经费62,596,486.00元，主要包括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公用经费9,865,663.76元，主要包括</w:t>
      </w:r>
      <w:r>
        <w:rPr>
          <w:rFonts w:eastAsia="仿宋_GB2312" w:hint="eastAsia"/>
          <w:sz w:val="30"/>
          <w:szCs w:val="30"/>
        </w:rPr>
        <w:t xml:space="preserve">办公费、水费、电费、取暖费、物业管理费、差旅费、维修（护）费、培训费、被装购置费、委托业务费、工会经费、福利费、公务用车运行维护费、其他交通费用、税金及附加费用、其他商品和服务支出、办公设备购置、专用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天津市北辰区人民法院2024年度无政府性基金预算财政拨款收入、支出和结转结余。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天津市北辰区人民法院2024年度无国有资本经营预算财政拨款收入、支出和结转结余。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417,000.00</w:t>
      </w:r>
      <w:r>
        <w:rPr>
          <w:rFonts w:eastAsia="仿宋_GB2312" w:hint="eastAsia"/>
          <w:sz w:val="30"/>
          <w:szCs w:val="30"/>
        </w:rPr>
        <w:t xml:space="preserve">元，支出决算</w:t>
      </w:r>
      <w:r>
        <w:rPr>
          <w:rFonts w:eastAsia="仿宋_GB2312" w:hint="eastAsia"/>
          <w:sz w:val="30"/>
          <w:szCs w:val="30"/>
        </w:rPr>
        <w:t xml:space="preserve">417,000.00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支出决算较上年减少312,840.00元</w:t>
      </w:r>
      <w:r>
        <w:rPr>
          <w:rFonts w:eastAsia="仿宋_GB2312" w:hint="eastAsia"/>
          <w:sz w:val="30"/>
          <w:szCs w:val="30"/>
        </w:rPr>
        <w:t xml:space="preserve">，下降42.864%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决算数与预算数持平的主要原因是厉行节约，严格按照预算执行，严控三公经费支出；</w:t>
      </w:r>
      <w:r>
        <w:rPr>
          <w:rFonts w:eastAsia="仿宋_GB2312" w:hint="eastAsia"/>
          <w:sz w:val="30"/>
          <w:szCs w:val="30"/>
        </w:rPr>
        <w:t xml:space="preserve">决算数较上年减少的主要原因是落实过紧日子思想，合理安排公车使用，按要求压减公务用车购置及运行维护费支出。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417,000.00</w:t>
      </w:r>
      <w:r>
        <w:rPr>
          <w:rFonts w:eastAsia="仿宋_GB2312" w:hint="eastAsia"/>
          <w:sz w:val="30"/>
          <w:szCs w:val="30"/>
        </w:rPr>
        <w:t xml:space="preserve">元，支出决算</w:t>
      </w:r>
      <w:r>
        <w:rPr>
          <w:rFonts w:eastAsia="仿宋_GB2312" w:hint="eastAsia"/>
          <w:sz w:val="30"/>
          <w:szCs w:val="30"/>
        </w:rPr>
        <w:t xml:space="preserve">417,000.00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支出决算较上年减少312,840.00元</w:t>
      </w:r>
      <w:r>
        <w:rPr>
          <w:rFonts w:eastAsia="仿宋_GB2312" w:hint="eastAsia"/>
          <w:sz w:val="30"/>
          <w:szCs w:val="30"/>
        </w:rPr>
        <w:t xml:space="preserve">，下降42.864%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决算数与预算数持平的主要原因是厉行节约，严格按照预算执行，严控公务用车购置及运行维护费；</w:t>
      </w:r>
      <w:r>
        <w:rPr>
          <w:rFonts w:eastAsia="仿宋_GB2312" w:hint="eastAsia"/>
          <w:sz w:val="30"/>
          <w:szCs w:val="30"/>
        </w:rPr>
        <w:t xml:space="preserve">决算数较上年减少的主要原因是厉行节约，进一步压减公务用车购置及运行维护费用。</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207,000.00</w:t>
      </w:r>
      <w:r>
        <w:rPr>
          <w:rFonts w:eastAsia="仿宋_GB2312" w:hint="eastAsia"/>
          <w:sz w:val="30"/>
          <w:szCs w:val="30"/>
        </w:rPr>
        <w:t xml:space="preserve">元，支出决算</w:t>
      </w:r>
      <w:r>
        <w:rPr>
          <w:rFonts w:eastAsia="仿宋_GB2312" w:hint="eastAsia"/>
          <w:sz w:val="30"/>
          <w:szCs w:val="30"/>
        </w:rPr>
        <w:t xml:space="preserve">207,000.00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支出决算较上年减少23,000.00元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决算数与预算数持平的主要原因是落实过紧日子思想，严格按照预算执行，严控公务用车运行维护费支出；</w:t>
      </w:r>
      <w:r>
        <w:rPr>
          <w:rFonts w:eastAsia="仿宋_GB2312" w:hint="eastAsia"/>
          <w:sz w:val="30"/>
          <w:szCs w:val="30"/>
        </w:rPr>
        <w:t xml:space="preserve">决算数较上年减少的主要原因是厉行节约，合理安排公车使用，压减公务用车运行维护相关支出 。</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210,000.00</w:t>
      </w:r>
      <w:r>
        <w:rPr>
          <w:rFonts w:eastAsia="仿宋_GB2312" w:hint="eastAsia"/>
          <w:sz w:val="30"/>
          <w:szCs w:val="30"/>
        </w:rPr>
        <w:t xml:space="preserve">元，支出决算</w:t>
      </w:r>
      <w:r>
        <w:rPr>
          <w:rFonts w:eastAsia="仿宋_GB2312" w:hint="eastAsia"/>
          <w:sz w:val="30"/>
          <w:szCs w:val="30"/>
        </w:rPr>
        <w:t xml:space="preserve">210,000.00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支出决算较上年减少289,840.00元</w:t>
      </w:r>
      <w:r>
        <w:rPr>
          <w:rFonts w:eastAsia="仿宋_GB2312" w:hint="eastAsia"/>
          <w:sz w:val="30"/>
          <w:szCs w:val="30"/>
        </w:rPr>
        <w:t xml:space="preserve">，下降57.987%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决算数与预算数持平的主要原因是厉行节约，严格按照预算执行，严控公务用车购置费支出；</w:t>
      </w:r>
      <w:r>
        <w:rPr>
          <w:rFonts w:eastAsia="仿宋_GB2312" w:hint="eastAsia"/>
          <w:sz w:val="30"/>
          <w:szCs w:val="30"/>
        </w:rPr>
        <w:t xml:space="preserve">决算数较上年减少的主要原因是落实过紧日子思想，压减公务用车购置费支出。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北辰区人民法院2024年度机关运行经费年初预算9,875,000.00元，决算数9,865,663.76元，与年初预算相比</w:t>
      </w:r>
      <w:r>
        <w:rPr>
          <w:rFonts w:eastAsia="仿宋_GB2312" w:hint="eastAsia"/>
          <w:sz w:val="30"/>
          <w:szCs w:val="30"/>
        </w:rPr>
        <w:t xml:space="preserve">减少9,336.24元，</w:t>
      </w:r>
      <w:r>
        <w:rPr>
          <w:rFonts w:eastAsia="仿宋_GB2312" w:hint="eastAsia"/>
          <w:sz w:val="30"/>
          <w:szCs w:val="30"/>
        </w:rPr>
        <w:t xml:space="preserve">完成年初预算的99.905%；</w:t>
      </w:r>
      <w:r>
        <w:rPr>
          <w:rFonts w:eastAsia="仿宋_GB2312" w:hint="eastAsia"/>
          <w:sz w:val="30"/>
          <w:szCs w:val="30"/>
        </w:rPr>
        <w:t xml:space="preserve">比2023年减少606,028.14元</w:t>
      </w:r>
      <w:r>
        <w:rPr>
          <w:rFonts w:eastAsia="仿宋_GB2312" w:hint="eastAsia"/>
          <w:sz w:val="30"/>
          <w:szCs w:val="30"/>
        </w:rPr>
        <w:t xml:space="preserve">，下降5.787%</w:t>
      </w:r>
      <w:r>
        <w:rPr>
          <w:rFonts w:eastAsia="仿宋_GB2312" w:hint="eastAsia"/>
          <w:sz w:val="30"/>
          <w:szCs w:val="30"/>
        </w:rPr>
        <w:t xml:space="preserve">，主要原因是：发扬过紧日子精神，控制机关运行成本，提高财政资金使用效率。</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北辰区人民法院2024年政府采购支出总额5,239,835.00元，其中：政府采购货物支出580,624.00元、政府采购工程支出0.00元、政府采购服务支出4,659,211.00元。授予中小企业合同金额4,609,835.00元，占政府采购支出总额的87.977%，其中：授予小微企业合同金额3,828,284.00元，占政府采购支出总额的73.061%；货物采购授予中小企业合同金额占货物支出金额的100.000%，工程采购授予中小企业合同金额占工程支出金额的0.000%，服务采购授予中小企业合同金额占服务支出金额的86.478%。</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截至2024年12月31日，天津市北辰区人民法院共有车辆20辆</w:t>
      </w:r>
      <w:r>
        <w:rPr>
          <w:rFonts w:eastAsia="仿宋_GB2312" w:hint="eastAsia"/>
          <w:sz w:val="30"/>
          <w:szCs w:val="30"/>
        </w:rPr>
        <w:t xml:space="preserve">，其中：</w:t>
      </w:r>
      <w:r>
        <w:rPr>
          <w:rFonts w:eastAsia="仿宋_GB2312" w:hint="eastAsia"/>
          <w:sz w:val="30"/>
          <w:szCs w:val="30"/>
        </w:rPr>
        <w:t xml:space="preserve">执法执勤用车20辆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根据预算绩效管理要求，天津市北辰区人民法院已对4个2024年度市级项目开展绩效自评，涉及金额6,045,598.00元，自评结果已随部门决算一并公开。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   </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天津市北辰区人民法院不属于乡、镇、街级单位，不涉及公开2024年度教育、医疗卫生、社会保障和就业、住房保障、涉农补贴等民生支出情况。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