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A12FD0" w:rsidRDefault="00A12FD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A12FD0" w:rsidRDefault="00A12FD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Pr="00A12FD0" w:rsidRDefault="00FD2B50" w:rsidP="00FD2B50">
      <w:pPr>
        <w:pStyle w:val="Normal0"/>
        <w:spacing w:before="0" w:after="0"/>
        <w:jc w:val="center"/>
        <w:rPr>
          <w:rFonts w:ascii="方正小标宋简体" w:eastAsia="方正小标宋简体" w:hAnsi="华文中宋" w:hint="eastAsia"/>
          <w:noProof/>
          <w:sz w:val="48"/>
          <w:szCs w:val="48"/>
          <w:lang w:eastAsia="zh-CN"/>
        </w:rPr>
      </w:pPr>
      <w:r w:rsidRPr="00A12FD0">
        <w:rPr>
          <w:rFonts w:ascii="方正小标宋简体" w:eastAsia="方正小标宋简体" w:hAnsi="华文中宋" w:hint="eastAsia"/>
          <w:noProof/>
          <w:sz w:val="48"/>
          <w:szCs w:val="48"/>
          <w:lang w:eastAsia="zh-CN"/>
        </w:rPr>
        <w:t>天津市第一中级人民法院</w:t>
      </w:r>
    </w:p>
    <w:p w:rsidR="00FD2B50" w:rsidRPr="00A12FD0" w:rsidRDefault="00FD2B50" w:rsidP="00FD2B50">
      <w:pPr>
        <w:pStyle w:val="Normal0"/>
        <w:spacing w:before="0" w:after="0"/>
        <w:jc w:val="center"/>
        <w:rPr>
          <w:rFonts w:ascii="方正小标宋简体" w:eastAsia="方正小标宋简体" w:hAnsi="华文中宋" w:hint="eastAsia"/>
          <w:noProof/>
          <w:sz w:val="48"/>
          <w:szCs w:val="48"/>
          <w:lang w:eastAsia="zh-CN"/>
        </w:rPr>
      </w:pPr>
      <w:r w:rsidRPr="00A12FD0">
        <w:rPr>
          <w:rFonts w:ascii="方正小标宋简体" w:eastAsia="方正小标宋简体" w:hAnsi="华文中宋" w:hint="eastAsia"/>
          <w:noProof/>
          <w:sz w:val="48"/>
          <w:szCs w:val="48"/>
          <w:lang w:eastAsia="zh-CN"/>
        </w:rPr>
        <w:t>项目支出绩效目标表</w:t>
      </w:r>
    </w:p>
    <w:p w:rsidR="00FD2B50" w:rsidRPr="00FD2B50" w:rsidRDefault="00FD2B50" w:rsidP="00FD2B50">
      <w:pPr>
        <w:pStyle w:val="Normal0"/>
        <w:spacing w:before="0" w:after="0"/>
        <w:jc w:val="center"/>
        <w:rPr>
          <w:rFonts w:ascii="方正小标宋简体" w:eastAsia="方正小标宋简体" w:hAnsi="仿宋" w:hint="eastAsia"/>
          <w:noProof/>
          <w:lang w:eastAsia="zh-CN"/>
        </w:rPr>
      </w:pPr>
      <w:r w:rsidRPr="00A12FD0">
        <w:rPr>
          <w:rFonts w:ascii="方正小标宋简体" w:eastAsia="方正小标宋简体" w:hAnsi="仿宋" w:hint="eastAsia"/>
          <w:noProof/>
          <w:sz w:val="48"/>
          <w:szCs w:val="48"/>
          <w:lang w:eastAsia="zh-CN"/>
        </w:rPr>
        <w:t>（2025年）</w:t>
      </w: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FD2B50">
      <w:pPr>
        <w:pStyle w:val="Normal0"/>
        <w:spacing w:before="0" w:after="0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>
      <w:pPr>
        <w:pStyle w:val="Normal0"/>
        <w:spacing w:before="0" w:after="0" w:line="370" w:lineRule="exact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B44179">
      <w:pPr>
        <w:pStyle w:val="Normal0"/>
        <w:spacing w:before="0" w:after="0" w:line="360" w:lineRule="auto"/>
        <w:ind w:left="3927"/>
        <w:jc w:val="left"/>
        <w:rPr>
          <w:rFonts w:eastAsiaTheme="minorEastAsia" w:hint="eastAsia"/>
          <w:noProof/>
          <w:lang w:eastAsia="zh-CN"/>
        </w:rPr>
      </w:pPr>
    </w:p>
    <w:p w:rsidR="00FD2B50" w:rsidRDefault="00FD2B50" w:rsidP="00B44179">
      <w:pPr>
        <w:pStyle w:val="Normal0"/>
        <w:spacing w:before="0" w:after="0" w:line="360" w:lineRule="auto"/>
        <w:ind w:left="3927"/>
        <w:jc w:val="left"/>
        <w:rPr>
          <w:rFonts w:eastAsiaTheme="minorEastAsia" w:hint="eastAsia"/>
          <w:noProof/>
          <w:lang w:eastAsia="zh-CN"/>
        </w:rPr>
      </w:pPr>
    </w:p>
    <w:p w:rsidR="00981E28" w:rsidRPr="00B44179" w:rsidRDefault="008D3EA2" w:rsidP="00B44179">
      <w:pPr>
        <w:pStyle w:val="Normal0"/>
        <w:spacing w:before="0" w:after="0" w:line="360" w:lineRule="auto"/>
        <w:jc w:val="center"/>
        <w:rPr>
          <w:rFonts w:ascii="Times New Roman" w:hint="eastAsia"/>
          <w:color w:val="000000"/>
          <w:sz w:val="44"/>
          <w:szCs w:val="44"/>
          <w:lang w:eastAsia="zh-CN"/>
        </w:rPr>
      </w:pPr>
      <w:r w:rsidRPr="00B44179">
        <w:rPr>
          <w:rFonts w:ascii="Times New Roman"/>
          <w:color w:val="000000"/>
          <w:sz w:val="44"/>
          <w:szCs w:val="44"/>
          <w:lang w:eastAsia="zh-CN"/>
        </w:rPr>
        <w:t>目</w:t>
      </w:r>
      <w:r w:rsidR="00FD2B50" w:rsidRPr="00B44179">
        <w:rPr>
          <w:rFonts w:ascii="Times New Roman" w:hint="eastAsia"/>
          <w:color w:val="000000"/>
          <w:sz w:val="44"/>
          <w:szCs w:val="44"/>
          <w:lang w:eastAsia="zh-CN"/>
        </w:rPr>
        <w:t xml:space="preserve">    </w:t>
      </w:r>
      <w:r w:rsidRPr="00B44179">
        <w:rPr>
          <w:rFonts w:ascii="Times New Roman"/>
          <w:color w:val="000000"/>
          <w:sz w:val="44"/>
          <w:szCs w:val="44"/>
          <w:lang w:eastAsia="zh-CN"/>
        </w:rPr>
        <w:t>录</w:t>
      </w:r>
    </w:p>
    <w:p w:rsidR="00981E28" w:rsidRPr="00A12FD0" w:rsidRDefault="00FD2B50">
      <w:pPr>
        <w:pStyle w:val="Normal0"/>
        <w:spacing w:before="161" w:after="0" w:line="321" w:lineRule="exact"/>
        <w:jc w:val="left"/>
        <w:rPr>
          <w:rFonts w:ascii="TGEEFN+å®ä½"/>
          <w:color w:val="000000"/>
          <w:sz w:val="32"/>
          <w:szCs w:val="32"/>
          <w:lang w:eastAsia="zh-CN"/>
        </w:rPr>
      </w:pPr>
      <w:r w:rsidRPr="00A12FD0">
        <w:rPr>
          <w:rFonts w:ascii="Times New Roman" w:eastAsiaTheme="minorEastAsia" w:hint="eastAsia"/>
          <w:color w:val="000000"/>
          <w:sz w:val="32"/>
          <w:szCs w:val="32"/>
          <w:lang w:eastAsia="zh-CN"/>
        </w:rPr>
        <w:t>1</w:t>
      </w:r>
      <w:r w:rsidR="008D3EA2" w:rsidRPr="00A12FD0">
        <w:rPr>
          <w:rFonts w:ascii="Times New Roman"/>
          <w:color w:val="000000"/>
          <w:sz w:val="32"/>
          <w:szCs w:val="32"/>
          <w:lang w:eastAsia="zh-CN"/>
        </w:rPr>
        <w:t>.2025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业务费绩效目标表</w:t>
      </w:r>
    </w:p>
    <w:p w:rsidR="00981E28" w:rsidRPr="00A12FD0" w:rsidRDefault="00FD2B50">
      <w:pPr>
        <w:pStyle w:val="Normal0"/>
        <w:spacing w:before="164" w:after="0" w:line="321" w:lineRule="exact"/>
        <w:jc w:val="left"/>
        <w:rPr>
          <w:rFonts w:ascii="TGEEFN+å®ä½"/>
          <w:color w:val="000000"/>
          <w:sz w:val="32"/>
          <w:szCs w:val="32"/>
          <w:lang w:eastAsia="zh-CN"/>
        </w:rPr>
      </w:pPr>
      <w:r w:rsidRPr="00A12FD0">
        <w:rPr>
          <w:rFonts w:ascii="Times New Roman" w:eastAsiaTheme="minorEastAsia" w:hint="eastAsia"/>
          <w:color w:val="000000"/>
          <w:spacing w:val="1"/>
          <w:sz w:val="32"/>
          <w:szCs w:val="32"/>
          <w:lang w:eastAsia="zh-CN"/>
        </w:rPr>
        <w:t>2</w:t>
      </w:r>
      <w:r w:rsidR="008D3EA2" w:rsidRPr="00A12FD0">
        <w:rPr>
          <w:rFonts w:ascii="Times New Roman"/>
          <w:color w:val="000000"/>
          <w:spacing w:val="1"/>
          <w:sz w:val="32"/>
          <w:szCs w:val="32"/>
          <w:lang w:eastAsia="zh-CN"/>
        </w:rPr>
        <w:t>.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办案业务及业务装备经费</w:t>
      </w:r>
      <w:r w:rsidR="008D3EA2" w:rsidRPr="00A12FD0">
        <w:rPr>
          <w:rFonts w:ascii="Times New Roman"/>
          <w:color w:val="000000"/>
          <w:sz w:val="32"/>
          <w:szCs w:val="32"/>
          <w:lang w:eastAsia="zh-CN"/>
        </w:rPr>
        <w:t>-2024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中央绩效目标表</w:t>
      </w:r>
    </w:p>
    <w:p w:rsidR="00981E28" w:rsidRPr="00A12FD0" w:rsidRDefault="00FD2B50">
      <w:pPr>
        <w:pStyle w:val="Normal0"/>
        <w:spacing w:before="161" w:after="0" w:line="321" w:lineRule="exact"/>
        <w:jc w:val="left"/>
        <w:rPr>
          <w:rFonts w:ascii="TGEEFN+å®ä½"/>
          <w:color w:val="000000"/>
          <w:sz w:val="32"/>
          <w:szCs w:val="32"/>
          <w:lang w:eastAsia="zh-CN"/>
        </w:rPr>
      </w:pPr>
      <w:r w:rsidRPr="00A12FD0">
        <w:rPr>
          <w:rFonts w:ascii="Times New Roman" w:eastAsiaTheme="minorEastAsia" w:hint="eastAsia"/>
          <w:color w:val="000000"/>
          <w:spacing w:val="1"/>
          <w:sz w:val="32"/>
          <w:szCs w:val="32"/>
          <w:lang w:eastAsia="zh-CN"/>
        </w:rPr>
        <w:t>3</w:t>
      </w:r>
      <w:r w:rsidR="008D3EA2" w:rsidRPr="00A12FD0">
        <w:rPr>
          <w:rFonts w:ascii="Times New Roman"/>
          <w:color w:val="000000"/>
          <w:spacing w:val="1"/>
          <w:sz w:val="32"/>
          <w:szCs w:val="32"/>
          <w:lang w:eastAsia="zh-CN"/>
        </w:rPr>
        <w:t>.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办案业务及业务装备经费</w:t>
      </w:r>
      <w:r w:rsidR="008D3EA2" w:rsidRPr="00A12FD0">
        <w:rPr>
          <w:rFonts w:ascii="Times New Roman"/>
          <w:color w:val="000000"/>
          <w:sz w:val="32"/>
          <w:szCs w:val="32"/>
          <w:lang w:eastAsia="zh-CN"/>
        </w:rPr>
        <w:t>-2024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中央绩效目标表</w:t>
      </w:r>
    </w:p>
    <w:p w:rsidR="00981E28" w:rsidRPr="00A12FD0" w:rsidRDefault="00FD2B50">
      <w:pPr>
        <w:pStyle w:val="Normal0"/>
        <w:spacing w:before="161" w:after="0" w:line="321" w:lineRule="exact"/>
        <w:jc w:val="left"/>
        <w:rPr>
          <w:rFonts w:ascii="TGEEFN+å®ä½"/>
          <w:color w:val="000000"/>
          <w:sz w:val="32"/>
          <w:szCs w:val="32"/>
          <w:lang w:eastAsia="zh-CN"/>
        </w:rPr>
      </w:pPr>
      <w:r w:rsidRPr="00A12FD0">
        <w:rPr>
          <w:rFonts w:ascii="Times New Roman" w:eastAsiaTheme="minorEastAsia" w:hint="eastAsia"/>
          <w:color w:val="000000"/>
          <w:spacing w:val="1"/>
          <w:sz w:val="32"/>
          <w:szCs w:val="32"/>
          <w:lang w:eastAsia="zh-CN"/>
        </w:rPr>
        <w:t>4</w:t>
      </w:r>
      <w:r w:rsidR="008D3EA2" w:rsidRPr="00A12FD0">
        <w:rPr>
          <w:rFonts w:ascii="Times New Roman"/>
          <w:color w:val="000000"/>
          <w:spacing w:val="1"/>
          <w:sz w:val="32"/>
          <w:szCs w:val="32"/>
          <w:lang w:eastAsia="zh-CN"/>
        </w:rPr>
        <w:t>.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办案业务及业务装备经费</w:t>
      </w:r>
      <w:r w:rsidR="008D3EA2" w:rsidRPr="00A12FD0">
        <w:rPr>
          <w:rFonts w:ascii="Times New Roman"/>
          <w:color w:val="000000"/>
          <w:sz w:val="32"/>
          <w:szCs w:val="32"/>
          <w:lang w:eastAsia="zh-CN"/>
        </w:rPr>
        <w:t>-2025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中央绩效目标表</w:t>
      </w:r>
    </w:p>
    <w:p w:rsidR="00981E28" w:rsidRPr="00A12FD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32"/>
          <w:szCs w:val="32"/>
          <w:lang w:eastAsia="zh-CN"/>
        </w:rPr>
      </w:pPr>
      <w:r w:rsidRPr="00A12FD0">
        <w:rPr>
          <w:rFonts w:ascii="Times New Roman" w:eastAsiaTheme="minorEastAsia" w:hint="eastAsia"/>
          <w:color w:val="000000"/>
          <w:spacing w:val="1"/>
          <w:sz w:val="32"/>
          <w:szCs w:val="32"/>
          <w:lang w:eastAsia="zh-CN"/>
        </w:rPr>
        <w:t>5</w:t>
      </w:r>
      <w:r w:rsidR="008D3EA2" w:rsidRPr="00A12FD0">
        <w:rPr>
          <w:rFonts w:ascii="Times New Roman"/>
          <w:color w:val="000000"/>
          <w:spacing w:val="1"/>
          <w:sz w:val="32"/>
          <w:szCs w:val="32"/>
          <w:lang w:eastAsia="zh-CN"/>
        </w:rPr>
        <w:t>.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司法救助</w:t>
      </w:r>
      <w:r w:rsidR="008D3EA2" w:rsidRPr="00A12FD0">
        <w:rPr>
          <w:rFonts w:ascii="Times New Roman"/>
          <w:color w:val="000000"/>
          <w:sz w:val="32"/>
          <w:szCs w:val="32"/>
          <w:lang w:eastAsia="zh-CN"/>
        </w:rPr>
        <w:t>-2024</w:t>
      </w:r>
      <w:r w:rsidR="008D3EA2" w:rsidRPr="00A12FD0">
        <w:rPr>
          <w:rFonts w:ascii="TGEEFN+å®ä½" w:hAnsi="TGEEFN+å®ä½" w:cs="TGEEFN+å®ä½"/>
          <w:color w:val="000000"/>
          <w:sz w:val="32"/>
          <w:szCs w:val="32"/>
          <w:lang w:eastAsia="zh-CN"/>
        </w:rPr>
        <w:t>中央绩效目标表</w:t>
      </w: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FD2B50" w:rsidRDefault="00FD2B5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254424" w:rsidRPr="00F07415" w:rsidRDefault="00254424" w:rsidP="00F07415">
      <w:pPr>
        <w:spacing w:line="360" w:lineRule="exact"/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 w:rsidRPr="00F07415">
        <w:rPr>
          <w:rFonts w:asciiTheme="majorEastAsia" w:eastAsiaTheme="majorEastAsia" w:hAnsiTheme="majorEastAsia" w:hint="eastAsia"/>
          <w:sz w:val="28"/>
          <w:szCs w:val="28"/>
        </w:rPr>
        <w:t>1.2025</w:t>
      </w:r>
      <w:r w:rsidRPr="00F07415">
        <w:rPr>
          <w:rFonts w:asciiTheme="majorEastAsia" w:eastAsiaTheme="majorEastAsia" w:hAnsiTheme="majorEastAsia" w:cs="宋体" w:hint="eastAsia"/>
          <w:sz w:val="28"/>
          <w:szCs w:val="28"/>
        </w:rPr>
        <w:t>业务费绩效目标表</w:t>
      </w:r>
    </w:p>
    <w:p w:rsidR="00254424" w:rsidRPr="00F07415" w:rsidRDefault="00254424" w:rsidP="00F07415">
      <w:pPr>
        <w:spacing w:line="360" w:lineRule="exact"/>
        <w:ind w:firstLineChars="49" w:firstLine="103"/>
        <w:rPr>
          <w:rFonts w:asciiTheme="minorEastAsia" w:eastAsiaTheme="minorEastAsia" w:hAnsiTheme="minorEastAsia" w:hint="eastAsia"/>
        </w:rPr>
      </w:pPr>
      <w:r w:rsidRPr="00F07415">
        <w:rPr>
          <w:rFonts w:asciiTheme="minorEastAsia" w:eastAsiaTheme="minorEastAsia" w:hAnsiTheme="minorEastAsia" w:hint="eastAsia"/>
          <w:b/>
          <w:sz w:val="21"/>
          <w:szCs w:val="21"/>
        </w:rPr>
        <w:t>202101-</w:t>
      </w:r>
      <w:r w:rsidRPr="00F07415">
        <w:rPr>
          <w:rFonts w:asciiTheme="minorEastAsia" w:eastAsiaTheme="minorEastAsia" w:hAnsiTheme="minorEastAsia" w:cs="宋体" w:hint="eastAsia"/>
          <w:b/>
          <w:sz w:val="21"/>
          <w:szCs w:val="21"/>
        </w:rPr>
        <w:t>天津市第一中级人民法院</w:t>
      </w:r>
      <w:r w:rsidRPr="00F07415">
        <w:rPr>
          <w:rFonts w:asciiTheme="minorEastAsia" w:eastAsiaTheme="minorEastAsia" w:hAnsiTheme="minorEastAsia" w:hint="eastAsia"/>
          <w:b/>
        </w:rPr>
        <w:t xml:space="preserve"> </w:t>
      </w:r>
      <w:r w:rsidRPr="00F07415">
        <w:rPr>
          <w:rFonts w:asciiTheme="minorEastAsia" w:eastAsiaTheme="minorEastAsia" w:hAnsiTheme="minorEastAsia" w:hint="eastAsia"/>
        </w:rPr>
        <w:t xml:space="preserve">                    </w:t>
      </w:r>
      <w:r w:rsidR="00B5233D">
        <w:rPr>
          <w:rFonts w:asciiTheme="minorEastAsia" w:eastAsiaTheme="minorEastAsia" w:hAnsiTheme="minorEastAsia" w:hint="eastAsia"/>
        </w:rPr>
        <w:t xml:space="preserve">      </w:t>
      </w:r>
      <w:r w:rsidRPr="00F07415">
        <w:rPr>
          <w:rFonts w:asciiTheme="minorEastAsia" w:eastAsiaTheme="minorEastAsia" w:hAnsiTheme="minorEastAsia" w:hint="eastAsia"/>
        </w:rPr>
        <w:t xml:space="preserve">              </w:t>
      </w:r>
      <w:r w:rsidRPr="00F07415">
        <w:rPr>
          <w:rFonts w:asciiTheme="minorEastAsia" w:eastAsiaTheme="minorEastAsia" w:hAnsiTheme="minorEastAsia" w:cs="宋体" w:hint="eastAsia"/>
          <w:sz w:val="21"/>
          <w:szCs w:val="21"/>
        </w:rPr>
        <w:t>单位：万元</w:t>
      </w:r>
    </w:p>
    <w:tbl>
      <w:tblPr>
        <w:tblW w:w="9371" w:type="dxa"/>
        <w:tblInd w:w="93" w:type="dxa"/>
        <w:tblLayout w:type="fixed"/>
        <w:tblLook w:val="04A0"/>
      </w:tblPr>
      <w:tblGrid>
        <w:gridCol w:w="1291"/>
        <w:gridCol w:w="1134"/>
        <w:gridCol w:w="142"/>
        <w:gridCol w:w="1134"/>
        <w:gridCol w:w="142"/>
        <w:gridCol w:w="1275"/>
        <w:gridCol w:w="1701"/>
        <w:gridCol w:w="1276"/>
        <w:gridCol w:w="1276"/>
      </w:tblGrid>
      <w:tr w:rsidR="00254424" w:rsidRPr="002C7278" w:rsidTr="00F07415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2025</w:t>
            </w: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业务费</w:t>
            </w:r>
          </w:p>
        </w:tc>
      </w:tr>
      <w:tr w:rsidR="00F07415" w:rsidRPr="00F07415" w:rsidTr="00A12FD0">
        <w:trPr>
          <w:trHeight w:val="7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预算规模及资金用途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1027</w:t>
            </w:r>
            <w:r w:rsidR="00F0741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其中：财政资金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1027</w:t>
            </w:r>
            <w:r w:rsidR="00F07415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.</w:t>
            </w:r>
            <w:r w:rsidR="00A12FD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424" w:rsidRPr="002C7278" w:rsidRDefault="00254424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54424" w:rsidRPr="002C7278" w:rsidTr="00997025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424" w:rsidRPr="002C7278" w:rsidRDefault="00254424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用于审判业务相关支出和审判业务设施和用房进行维修更新。 </w:t>
            </w:r>
          </w:p>
        </w:tc>
      </w:tr>
      <w:tr w:rsidR="00254424" w:rsidRPr="002C7278" w:rsidTr="00997025">
        <w:trPr>
          <w:trHeight w:val="73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8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424" w:rsidRPr="002C7278" w:rsidRDefault="00254424" w:rsidP="000412E5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1.通过办案业务相关支出，保障审判职能充分发挥，保证审判辅助外包业务、办案差旅及审判执行工作正常顺利完成。                                                                            2.通过对审判业务设施和用房进行维修更新，确保业务设施和用房安全运行，保证审判工作正常开展。</w:t>
            </w:r>
          </w:p>
        </w:tc>
      </w:tr>
      <w:tr w:rsidR="00254424" w:rsidRPr="002C7278" w:rsidTr="00A12FD0">
        <w:trPr>
          <w:trHeight w:val="39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97025" w:rsidRPr="00F07415" w:rsidTr="00997025">
        <w:trPr>
          <w:trHeight w:val="3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绩效指标描述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指标值</w:t>
            </w:r>
          </w:p>
        </w:tc>
      </w:tr>
      <w:tr w:rsidR="00254424" w:rsidRPr="00F07415" w:rsidTr="00A12FD0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收案数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收案数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≥19000件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结案数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结案数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≥18000件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质量指标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服务保障审判工作达标率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服务保障审判工作达标率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=100百分比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质量指标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维修项目竣工验收合格率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维修项目竣工验收合格率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=100百分比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时效指标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服务保障审判工作及时率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服务保障审判工作及时率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=100百分比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时效指标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维修项目按计划完工率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维修项目按计划完工率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=100百分比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成本指标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审判执行业务相关支出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审判执行业务相关支出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≤765万元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成本指标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审判业务设施和用房维修更新支出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审判业务设施和用房维修更新支出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≤262.5万元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社会效益指标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保障办案业务正常开展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保障办案业务正常开展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保障</w:t>
            </w:r>
          </w:p>
        </w:tc>
      </w:tr>
      <w:tr w:rsidR="00254424" w:rsidRPr="002C7278" w:rsidTr="00A12FD0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F0741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424" w:rsidRPr="002C7278" w:rsidRDefault="00254424" w:rsidP="00A12F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≥95百分比</w:t>
            </w:r>
          </w:p>
        </w:tc>
      </w:tr>
    </w:tbl>
    <w:p w:rsidR="00254424" w:rsidRDefault="00254424" w:rsidP="00254424">
      <w:pPr>
        <w:rPr>
          <w:rFonts w:hint="eastAsia"/>
        </w:rPr>
      </w:pPr>
    </w:p>
    <w:p w:rsidR="00254424" w:rsidRDefault="00254424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B5233D" w:rsidRDefault="00B5233D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B5233D" w:rsidRDefault="00B5233D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B5233D" w:rsidRDefault="00B5233D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B5233D" w:rsidRDefault="00B5233D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B5233D" w:rsidRDefault="00B5233D" w:rsidP="00B5233D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B5233D" w:rsidRPr="00F07415" w:rsidRDefault="00B5233D" w:rsidP="00B5233D">
      <w:pPr>
        <w:spacing w:line="360" w:lineRule="exact"/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F07415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B5233D">
        <w:rPr>
          <w:rFonts w:hint="eastAsia"/>
        </w:rPr>
        <w:t xml:space="preserve"> </w:t>
      </w:r>
      <w:r w:rsidRPr="00B5233D">
        <w:rPr>
          <w:rFonts w:asciiTheme="majorEastAsia" w:eastAsiaTheme="majorEastAsia" w:hAnsiTheme="majorEastAsia" w:hint="eastAsia"/>
          <w:sz w:val="28"/>
          <w:szCs w:val="28"/>
        </w:rPr>
        <w:t>办案业务及业务装备经费</w:t>
      </w:r>
      <w:r w:rsidRPr="00B5233D">
        <w:rPr>
          <w:rFonts w:asciiTheme="majorEastAsia" w:eastAsiaTheme="majorEastAsia" w:hAnsiTheme="majorEastAsia"/>
          <w:sz w:val="28"/>
          <w:szCs w:val="28"/>
        </w:rPr>
        <w:t>-2024</w:t>
      </w:r>
      <w:r w:rsidRPr="00B5233D">
        <w:rPr>
          <w:rFonts w:asciiTheme="majorEastAsia" w:eastAsiaTheme="majorEastAsia" w:hAnsiTheme="majorEastAsia" w:hint="eastAsia"/>
          <w:sz w:val="28"/>
          <w:szCs w:val="28"/>
        </w:rPr>
        <w:t>中央</w:t>
      </w:r>
      <w:r w:rsidRPr="00F07415">
        <w:rPr>
          <w:rFonts w:asciiTheme="majorEastAsia" w:eastAsiaTheme="majorEastAsia" w:hAnsiTheme="majorEastAsia" w:cs="宋体" w:hint="eastAsia"/>
          <w:sz w:val="28"/>
          <w:szCs w:val="28"/>
        </w:rPr>
        <w:t>绩效目标表</w:t>
      </w:r>
    </w:p>
    <w:p w:rsidR="00B5233D" w:rsidRPr="00F07415" w:rsidRDefault="00B5233D" w:rsidP="00B5233D">
      <w:pPr>
        <w:spacing w:line="360" w:lineRule="exact"/>
        <w:ind w:firstLineChars="49" w:firstLine="103"/>
        <w:rPr>
          <w:rFonts w:asciiTheme="minorEastAsia" w:eastAsiaTheme="minorEastAsia" w:hAnsiTheme="minorEastAsia" w:hint="eastAsia"/>
        </w:rPr>
      </w:pPr>
      <w:r w:rsidRPr="00F07415">
        <w:rPr>
          <w:rFonts w:asciiTheme="minorEastAsia" w:eastAsiaTheme="minorEastAsia" w:hAnsiTheme="minorEastAsia" w:hint="eastAsia"/>
          <w:b/>
          <w:sz w:val="21"/>
          <w:szCs w:val="21"/>
        </w:rPr>
        <w:t>202101-</w:t>
      </w:r>
      <w:r w:rsidRPr="00F07415">
        <w:rPr>
          <w:rFonts w:asciiTheme="minorEastAsia" w:eastAsiaTheme="minorEastAsia" w:hAnsiTheme="minorEastAsia" w:cs="宋体" w:hint="eastAsia"/>
          <w:b/>
          <w:sz w:val="21"/>
          <w:szCs w:val="21"/>
        </w:rPr>
        <w:t>天津市第一中级人民法院</w:t>
      </w:r>
      <w:r w:rsidRPr="00F07415">
        <w:rPr>
          <w:rFonts w:asciiTheme="minorEastAsia" w:eastAsiaTheme="minorEastAsia" w:hAnsiTheme="minorEastAsia" w:hint="eastAsia"/>
          <w:b/>
        </w:rPr>
        <w:t xml:space="preserve"> </w:t>
      </w:r>
      <w:r w:rsidRPr="00F07415">
        <w:rPr>
          <w:rFonts w:asciiTheme="minorEastAsia" w:eastAsiaTheme="minorEastAsia" w:hAnsiTheme="minorEastAsia" w:hint="eastAsia"/>
        </w:rPr>
        <w:t xml:space="preserve">                    </w:t>
      </w:r>
      <w:r>
        <w:rPr>
          <w:rFonts w:asciiTheme="minorEastAsia" w:eastAsiaTheme="minorEastAsia" w:hAnsiTheme="minorEastAsia" w:hint="eastAsia"/>
        </w:rPr>
        <w:t xml:space="preserve">      </w:t>
      </w:r>
      <w:r w:rsidRPr="00F07415">
        <w:rPr>
          <w:rFonts w:asciiTheme="minorEastAsia" w:eastAsiaTheme="minorEastAsia" w:hAnsiTheme="minorEastAsia" w:hint="eastAsia"/>
        </w:rPr>
        <w:t xml:space="preserve">              </w:t>
      </w:r>
      <w:r w:rsidRPr="00F07415">
        <w:rPr>
          <w:rFonts w:asciiTheme="minorEastAsia" w:eastAsiaTheme="minorEastAsia" w:hAnsiTheme="minorEastAsia" w:cs="宋体" w:hint="eastAsia"/>
          <w:sz w:val="21"/>
          <w:szCs w:val="21"/>
        </w:rPr>
        <w:t>单位：万元</w:t>
      </w:r>
    </w:p>
    <w:tbl>
      <w:tblPr>
        <w:tblW w:w="9371" w:type="dxa"/>
        <w:tblInd w:w="93" w:type="dxa"/>
        <w:tblLayout w:type="fixed"/>
        <w:tblLook w:val="04A0"/>
      </w:tblPr>
      <w:tblGrid>
        <w:gridCol w:w="1291"/>
        <w:gridCol w:w="1418"/>
        <w:gridCol w:w="1417"/>
        <w:gridCol w:w="1418"/>
        <w:gridCol w:w="1275"/>
        <w:gridCol w:w="1276"/>
        <w:gridCol w:w="1276"/>
      </w:tblGrid>
      <w:tr w:rsidR="00B5233D" w:rsidRPr="002C7278" w:rsidTr="00C7130A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5233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办案业务及业务装备经费</w:t>
            </w:r>
            <w:r w:rsidRPr="00B5233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-2024</w:t>
            </w:r>
            <w:r w:rsidRPr="00B5233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中央</w:t>
            </w:r>
          </w:p>
        </w:tc>
      </w:tr>
      <w:tr w:rsidR="00B5233D" w:rsidRPr="00F07415" w:rsidTr="0008463E">
        <w:trPr>
          <w:trHeight w:val="7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预算规模及资金用途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239.01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其中：财政资金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239.01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3D" w:rsidRPr="002C7278" w:rsidRDefault="00B5233D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5233D" w:rsidRPr="002C7278" w:rsidTr="0008463E">
        <w:trPr>
          <w:trHeight w:val="51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0412E5" w:rsidP="00B5233D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412E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保证审判执行及辅助工作正常顺利开展。</w:t>
            </w:r>
          </w:p>
        </w:tc>
      </w:tr>
      <w:tr w:rsidR="00B5233D" w:rsidRPr="002C7278" w:rsidTr="00997025">
        <w:trPr>
          <w:trHeight w:val="70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3D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33D" w:rsidRPr="002C7278" w:rsidRDefault="0008463E" w:rsidP="00C7130A">
            <w:pPr>
              <w:rPr>
                <w:rFonts w:eastAsiaTheme="minorEastAsia"/>
              </w:rPr>
            </w:pP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1.通过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对信息化硬件、软件维修维护，保障系统正常运行，保证日常办案办公</w:t>
            </w: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                                                 2.通过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保障办案业务相关支出，保证审判执行及辅助工作正常顺利开展</w:t>
            </w: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08463E" w:rsidRPr="00F07415" w:rsidTr="00997025">
        <w:trPr>
          <w:trHeight w:val="4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绩效指标描述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指标值</w:t>
            </w:r>
          </w:p>
        </w:tc>
      </w:tr>
      <w:tr w:rsidR="000412E5" w:rsidRPr="00F07415" w:rsidTr="00997025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收案数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收案数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≥18000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</w:tr>
      <w:tr w:rsidR="000412E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结案数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结案数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≥17000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保障科技法庭数量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保障科技法庭数量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=36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保障审判执行工作完成率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保障审判执行工作完成率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百分比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信息化运行故障率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信息化运行故障率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百分比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保障审判执行工作周期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保障审判执行工作周期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维修维护成本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维修维护成本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≤35.23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办案业务及业务装备等支出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办案业务及业务装备等支出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≤203.78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Pr="002C7278" w:rsidRDefault="000412E5" w:rsidP="00C7130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保障案件审判执行及时、高效完成，促进社会安定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保障案件审判执行及时、高效完成，促进社会安定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</w:tr>
      <w:tr w:rsidR="000412E5" w:rsidRPr="002C7278" w:rsidTr="0008463E">
        <w:trPr>
          <w:trHeight w:val="33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Pr="002C7278" w:rsidRDefault="000412E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Pr="000412E5" w:rsidRDefault="000412E5" w:rsidP="00C7130A">
            <w:pPr>
              <w:jc w:val="both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保障信息化设备正常运行时间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保障信息化设备正常运行时间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2E5" w:rsidRDefault="000412E5" w:rsidP="000412E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</w:p>
        </w:tc>
      </w:tr>
      <w:tr w:rsidR="00B5233D" w:rsidRPr="002C7278" w:rsidTr="0008463E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33D" w:rsidRPr="002C7278" w:rsidRDefault="00B5233D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≥95百分比</w:t>
            </w:r>
          </w:p>
        </w:tc>
      </w:tr>
    </w:tbl>
    <w:p w:rsidR="00B5233D" w:rsidRDefault="00B5233D" w:rsidP="00B5233D">
      <w:pPr>
        <w:rPr>
          <w:rFonts w:hint="eastAsia"/>
        </w:rPr>
      </w:pPr>
    </w:p>
    <w:p w:rsidR="00B5233D" w:rsidRDefault="00B5233D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8463E" w:rsidRDefault="0008463E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8463E" w:rsidRDefault="0008463E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8463E" w:rsidRDefault="0008463E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8463E" w:rsidRDefault="0008463E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8463E" w:rsidRDefault="0008463E" w:rsidP="0008463E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8463E" w:rsidRPr="00F07415" w:rsidRDefault="0008463E" w:rsidP="0008463E">
      <w:pPr>
        <w:spacing w:line="360" w:lineRule="exact"/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07415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B5233D">
        <w:rPr>
          <w:rFonts w:hint="eastAsia"/>
        </w:rPr>
        <w:t xml:space="preserve"> </w:t>
      </w:r>
      <w:r w:rsidRPr="00B5233D">
        <w:rPr>
          <w:rFonts w:asciiTheme="majorEastAsia" w:eastAsiaTheme="majorEastAsia" w:hAnsiTheme="majorEastAsia" w:hint="eastAsia"/>
          <w:sz w:val="28"/>
          <w:szCs w:val="28"/>
        </w:rPr>
        <w:t>办案业务及业务装备经费</w:t>
      </w:r>
      <w:r w:rsidRPr="00B5233D">
        <w:rPr>
          <w:rFonts w:asciiTheme="majorEastAsia" w:eastAsiaTheme="majorEastAsia" w:hAnsiTheme="majorEastAsia"/>
          <w:sz w:val="28"/>
          <w:szCs w:val="28"/>
        </w:rPr>
        <w:t>-2024</w:t>
      </w:r>
      <w:r w:rsidRPr="00B5233D">
        <w:rPr>
          <w:rFonts w:asciiTheme="majorEastAsia" w:eastAsiaTheme="majorEastAsia" w:hAnsiTheme="majorEastAsia" w:hint="eastAsia"/>
          <w:sz w:val="28"/>
          <w:szCs w:val="28"/>
        </w:rPr>
        <w:t>中央</w:t>
      </w:r>
      <w:r w:rsidRPr="00F07415">
        <w:rPr>
          <w:rFonts w:asciiTheme="majorEastAsia" w:eastAsiaTheme="majorEastAsia" w:hAnsiTheme="majorEastAsia" w:cs="宋体" w:hint="eastAsia"/>
          <w:sz w:val="28"/>
          <w:szCs w:val="28"/>
        </w:rPr>
        <w:t>绩效目标表</w:t>
      </w:r>
    </w:p>
    <w:p w:rsidR="0008463E" w:rsidRPr="00F07415" w:rsidRDefault="0008463E" w:rsidP="0008463E">
      <w:pPr>
        <w:spacing w:line="360" w:lineRule="exact"/>
        <w:ind w:firstLineChars="49" w:firstLine="103"/>
        <w:rPr>
          <w:rFonts w:asciiTheme="minorEastAsia" w:eastAsiaTheme="minorEastAsia" w:hAnsiTheme="minorEastAsia" w:hint="eastAsia"/>
        </w:rPr>
      </w:pPr>
      <w:r w:rsidRPr="00F07415">
        <w:rPr>
          <w:rFonts w:asciiTheme="minorEastAsia" w:eastAsiaTheme="minorEastAsia" w:hAnsiTheme="minorEastAsia" w:hint="eastAsia"/>
          <w:b/>
          <w:sz w:val="21"/>
          <w:szCs w:val="21"/>
        </w:rPr>
        <w:t>202101-</w:t>
      </w:r>
      <w:r w:rsidRPr="00F07415">
        <w:rPr>
          <w:rFonts w:asciiTheme="minorEastAsia" w:eastAsiaTheme="minorEastAsia" w:hAnsiTheme="minorEastAsia" w:cs="宋体" w:hint="eastAsia"/>
          <w:b/>
          <w:sz w:val="21"/>
          <w:szCs w:val="21"/>
        </w:rPr>
        <w:t>天津市第一中级人民法院</w:t>
      </w:r>
      <w:r w:rsidRPr="00F07415">
        <w:rPr>
          <w:rFonts w:asciiTheme="minorEastAsia" w:eastAsiaTheme="minorEastAsia" w:hAnsiTheme="minorEastAsia" w:hint="eastAsia"/>
          <w:b/>
        </w:rPr>
        <w:t xml:space="preserve"> </w:t>
      </w:r>
      <w:r w:rsidRPr="00F07415">
        <w:rPr>
          <w:rFonts w:asciiTheme="minorEastAsia" w:eastAsiaTheme="minorEastAsia" w:hAnsiTheme="minorEastAsia" w:hint="eastAsia"/>
        </w:rPr>
        <w:t xml:space="preserve">                    </w:t>
      </w:r>
      <w:r>
        <w:rPr>
          <w:rFonts w:asciiTheme="minorEastAsia" w:eastAsiaTheme="minorEastAsia" w:hAnsiTheme="minorEastAsia" w:hint="eastAsia"/>
        </w:rPr>
        <w:t xml:space="preserve">      </w:t>
      </w:r>
      <w:r w:rsidRPr="00F07415">
        <w:rPr>
          <w:rFonts w:asciiTheme="minorEastAsia" w:eastAsiaTheme="minorEastAsia" w:hAnsiTheme="minorEastAsia" w:hint="eastAsia"/>
        </w:rPr>
        <w:t xml:space="preserve">              </w:t>
      </w:r>
      <w:r w:rsidRPr="00F07415">
        <w:rPr>
          <w:rFonts w:asciiTheme="minorEastAsia" w:eastAsiaTheme="minorEastAsia" w:hAnsiTheme="minorEastAsia" w:cs="宋体" w:hint="eastAsia"/>
          <w:sz w:val="21"/>
          <w:szCs w:val="21"/>
        </w:rPr>
        <w:t>单位：万元</w:t>
      </w:r>
    </w:p>
    <w:tbl>
      <w:tblPr>
        <w:tblW w:w="9371" w:type="dxa"/>
        <w:tblInd w:w="93" w:type="dxa"/>
        <w:tblLayout w:type="fixed"/>
        <w:tblLook w:val="04A0"/>
      </w:tblPr>
      <w:tblGrid>
        <w:gridCol w:w="1291"/>
        <w:gridCol w:w="1418"/>
        <w:gridCol w:w="1417"/>
        <w:gridCol w:w="1418"/>
        <w:gridCol w:w="1275"/>
        <w:gridCol w:w="1276"/>
        <w:gridCol w:w="1276"/>
      </w:tblGrid>
      <w:tr w:rsidR="0008463E" w:rsidRPr="002C7278" w:rsidTr="00C7130A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5233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办案业务及业务装备经费</w:t>
            </w:r>
            <w:r w:rsidRPr="00B5233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-2024</w:t>
            </w:r>
            <w:r w:rsidRPr="00B5233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中央</w:t>
            </w:r>
          </w:p>
        </w:tc>
      </w:tr>
      <w:tr w:rsidR="0008463E" w:rsidRPr="00F07415" w:rsidTr="00C7130A">
        <w:trPr>
          <w:trHeight w:val="7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预算规模及资金用途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85.14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其中：财政资金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85.14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3E" w:rsidRPr="002C7278" w:rsidRDefault="0008463E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8463E" w:rsidRPr="002C7278" w:rsidTr="0008463E">
        <w:trPr>
          <w:trHeight w:val="51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08463E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412E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障</w:t>
            </w:r>
            <w:r w:rsidRPr="000412E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审判执行工作正常顺利开展。</w:t>
            </w:r>
          </w:p>
        </w:tc>
      </w:tr>
      <w:tr w:rsidR="0008463E" w:rsidRPr="002C7278" w:rsidTr="00997025">
        <w:trPr>
          <w:trHeight w:val="4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rPr>
                <w:rFonts w:eastAsiaTheme="minorEastAsia"/>
              </w:rPr>
            </w:pP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1.通过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保障办案业务相关支出，保证审判执行工作正常顺利开展</w:t>
            </w: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08463E" w:rsidRPr="00F07415" w:rsidTr="00997025">
        <w:trPr>
          <w:trHeight w:val="41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绩效指标描述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指标值</w:t>
            </w:r>
          </w:p>
        </w:tc>
      </w:tr>
      <w:tr w:rsidR="00997025" w:rsidRPr="00F07415" w:rsidTr="00997025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保障日常维修次数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保障日常维修次数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次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报修及时性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报修及时性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小时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保障审判工作周期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保障审判工作周期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办案业务成本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办案业务成本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≤55.15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维修成本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维修成本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≤30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保障案件审判执行及时、高效完成，促进社会安定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保障案件审判执行及时、高效完成，促进社会安定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</w:tr>
      <w:tr w:rsidR="0008463E" w:rsidRPr="002C7278" w:rsidTr="00C7130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E" w:rsidRPr="002C7278" w:rsidRDefault="0008463E" w:rsidP="00997025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≥9</w:t>
            </w:r>
            <w:r w:rsidR="0099702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0</w:t>
            </w: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百分比</w:t>
            </w:r>
          </w:p>
        </w:tc>
      </w:tr>
    </w:tbl>
    <w:p w:rsidR="0008463E" w:rsidRDefault="0008463E" w:rsidP="0008463E">
      <w:pPr>
        <w:rPr>
          <w:rFonts w:hint="eastAsia"/>
        </w:rPr>
      </w:pPr>
    </w:p>
    <w:p w:rsidR="0008463E" w:rsidRDefault="0008463E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Default="00997025" w:rsidP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997025" w:rsidRPr="00F07415" w:rsidRDefault="00997025" w:rsidP="00997025">
      <w:pPr>
        <w:spacing w:line="360" w:lineRule="exact"/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F07415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B5233D">
        <w:rPr>
          <w:rFonts w:hint="eastAsia"/>
        </w:rPr>
        <w:t xml:space="preserve"> </w:t>
      </w:r>
      <w:r w:rsidRPr="00B5233D">
        <w:rPr>
          <w:rFonts w:asciiTheme="majorEastAsia" w:eastAsiaTheme="majorEastAsia" w:hAnsiTheme="majorEastAsia" w:hint="eastAsia"/>
          <w:sz w:val="28"/>
          <w:szCs w:val="28"/>
        </w:rPr>
        <w:t>办案业务及业务装备经费</w:t>
      </w:r>
      <w:r w:rsidRPr="00B5233D">
        <w:rPr>
          <w:rFonts w:asciiTheme="majorEastAsia" w:eastAsiaTheme="majorEastAsia" w:hAnsiTheme="majorEastAsia"/>
          <w:sz w:val="28"/>
          <w:szCs w:val="28"/>
        </w:rPr>
        <w:t>-202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B5233D">
        <w:rPr>
          <w:rFonts w:asciiTheme="majorEastAsia" w:eastAsiaTheme="majorEastAsia" w:hAnsiTheme="majorEastAsia" w:hint="eastAsia"/>
          <w:sz w:val="28"/>
          <w:szCs w:val="28"/>
        </w:rPr>
        <w:t>中央</w:t>
      </w:r>
      <w:r w:rsidRPr="00F07415">
        <w:rPr>
          <w:rFonts w:asciiTheme="majorEastAsia" w:eastAsiaTheme="majorEastAsia" w:hAnsiTheme="majorEastAsia" w:cs="宋体" w:hint="eastAsia"/>
          <w:sz w:val="28"/>
          <w:szCs w:val="28"/>
        </w:rPr>
        <w:t>绩效目标表</w:t>
      </w:r>
    </w:p>
    <w:p w:rsidR="00997025" w:rsidRPr="00F07415" w:rsidRDefault="00997025" w:rsidP="00997025">
      <w:pPr>
        <w:spacing w:line="360" w:lineRule="exact"/>
        <w:ind w:firstLineChars="49" w:firstLine="103"/>
        <w:rPr>
          <w:rFonts w:asciiTheme="minorEastAsia" w:eastAsiaTheme="minorEastAsia" w:hAnsiTheme="minorEastAsia" w:hint="eastAsia"/>
        </w:rPr>
      </w:pPr>
      <w:r w:rsidRPr="00F07415">
        <w:rPr>
          <w:rFonts w:asciiTheme="minorEastAsia" w:eastAsiaTheme="minorEastAsia" w:hAnsiTheme="minorEastAsia" w:hint="eastAsia"/>
          <w:b/>
          <w:sz w:val="21"/>
          <w:szCs w:val="21"/>
        </w:rPr>
        <w:t>202101-</w:t>
      </w:r>
      <w:r w:rsidRPr="00F07415">
        <w:rPr>
          <w:rFonts w:asciiTheme="minorEastAsia" w:eastAsiaTheme="minorEastAsia" w:hAnsiTheme="minorEastAsia" w:cs="宋体" w:hint="eastAsia"/>
          <w:b/>
          <w:sz w:val="21"/>
          <w:szCs w:val="21"/>
        </w:rPr>
        <w:t>天津市第一中级人民法院</w:t>
      </w:r>
      <w:r w:rsidRPr="00F07415">
        <w:rPr>
          <w:rFonts w:asciiTheme="minorEastAsia" w:eastAsiaTheme="minorEastAsia" w:hAnsiTheme="minorEastAsia" w:hint="eastAsia"/>
          <w:b/>
        </w:rPr>
        <w:t xml:space="preserve"> </w:t>
      </w:r>
      <w:r w:rsidRPr="00F07415">
        <w:rPr>
          <w:rFonts w:asciiTheme="minorEastAsia" w:eastAsiaTheme="minorEastAsia" w:hAnsiTheme="minorEastAsia" w:hint="eastAsia"/>
        </w:rPr>
        <w:t xml:space="preserve">                    </w:t>
      </w:r>
      <w:r>
        <w:rPr>
          <w:rFonts w:asciiTheme="minorEastAsia" w:eastAsiaTheme="minorEastAsia" w:hAnsiTheme="minorEastAsia" w:hint="eastAsia"/>
        </w:rPr>
        <w:t xml:space="preserve">      </w:t>
      </w:r>
      <w:r w:rsidRPr="00F07415">
        <w:rPr>
          <w:rFonts w:asciiTheme="minorEastAsia" w:eastAsiaTheme="minorEastAsia" w:hAnsiTheme="minorEastAsia" w:hint="eastAsia"/>
        </w:rPr>
        <w:t xml:space="preserve">              </w:t>
      </w:r>
      <w:r w:rsidRPr="00F07415">
        <w:rPr>
          <w:rFonts w:asciiTheme="minorEastAsia" w:eastAsiaTheme="minorEastAsia" w:hAnsiTheme="minorEastAsia" w:cs="宋体" w:hint="eastAsia"/>
          <w:sz w:val="21"/>
          <w:szCs w:val="21"/>
        </w:rPr>
        <w:t>单位：万元</w:t>
      </w:r>
    </w:p>
    <w:tbl>
      <w:tblPr>
        <w:tblW w:w="9371" w:type="dxa"/>
        <w:tblInd w:w="93" w:type="dxa"/>
        <w:tblLayout w:type="fixed"/>
        <w:tblLook w:val="04A0"/>
      </w:tblPr>
      <w:tblGrid>
        <w:gridCol w:w="1291"/>
        <w:gridCol w:w="1418"/>
        <w:gridCol w:w="1417"/>
        <w:gridCol w:w="1418"/>
        <w:gridCol w:w="1275"/>
        <w:gridCol w:w="1276"/>
        <w:gridCol w:w="1276"/>
      </w:tblGrid>
      <w:tr w:rsidR="00997025" w:rsidRPr="002C7278" w:rsidTr="00C7130A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997025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B5233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办案业务及业务装备经费</w:t>
            </w:r>
            <w:r w:rsidRPr="00B5233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-202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  <w:r w:rsidRPr="00B5233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中央</w:t>
            </w:r>
          </w:p>
        </w:tc>
      </w:tr>
      <w:tr w:rsidR="00997025" w:rsidRPr="00F07415" w:rsidTr="00C7130A">
        <w:trPr>
          <w:trHeight w:val="7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预算规模及资金用途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455.00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其中：财政资金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455.00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025" w:rsidRPr="002C7278" w:rsidRDefault="00997025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997025" w:rsidRPr="002C7278" w:rsidTr="00C7130A">
        <w:trPr>
          <w:trHeight w:val="51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412E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保证审判执行及辅助工作正常顺利开展。</w:t>
            </w:r>
          </w:p>
        </w:tc>
      </w:tr>
      <w:tr w:rsidR="00997025" w:rsidRPr="002C7278" w:rsidTr="00C7130A">
        <w:trPr>
          <w:trHeight w:val="70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rPr>
                <w:rFonts w:eastAsiaTheme="minorEastAsia"/>
              </w:rPr>
            </w:pP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99702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通过保障办案业务相关支出，保证审判执行及辅助工作正常顺利开展。</w:t>
            </w: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                                           2.</w:t>
            </w:r>
            <w:r>
              <w:rPr>
                <w:rFonts w:hint="eastAsia"/>
              </w:rPr>
              <w:t xml:space="preserve"> </w:t>
            </w:r>
            <w:r w:rsidRPr="0099702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通过对信息化硬件、软件维修维护，保障系统正常运行，保证日常办案办公正常进行。</w:t>
            </w:r>
          </w:p>
        </w:tc>
      </w:tr>
      <w:tr w:rsidR="00997025" w:rsidRPr="00F07415" w:rsidTr="00C7130A">
        <w:trPr>
          <w:trHeight w:val="4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绩效指标描述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指标值</w:t>
            </w:r>
          </w:p>
        </w:tc>
      </w:tr>
      <w:tr w:rsidR="00997025" w:rsidRPr="00F07415" w:rsidTr="00997025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支持法院收案数量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支持法院收案数量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≥19000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支持法院结案数量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支持法院结案数量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≥18000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件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保障科技法庭数量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保障科技法庭数量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=36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保障审判执行工作完成率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保障审判执行工作完成率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百分比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信息化运行故障率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信息化运行故障率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≤5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百分比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保障审判执行工作周期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保障审判执行工作周期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维修维护支出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维修维护支出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≤307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办案业务支出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办案业务支出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≤148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保障案件审判执行及时、高效完成，促进社会稳定。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保障案件审判执行及时、高效完成，促进社会稳定。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</w:t>
            </w:r>
          </w:p>
        </w:tc>
      </w:tr>
      <w:tr w:rsidR="00997025" w:rsidRPr="002C7278" w:rsidTr="00997025">
        <w:trPr>
          <w:trHeight w:val="33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保障信息化设备正常运行时间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保障信息化设备正常运行时间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Default="00997025" w:rsidP="00997025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</w:p>
        </w:tc>
      </w:tr>
      <w:tr w:rsidR="00997025" w:rsidRPr="002C7278" w:rsidTr="00C7130A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干警满意度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025" w:rsidRPr="002C7278" w:rsidRDefault="00997025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≥95百分比</w:t>
            </w:r>
          </w:p>
        </w:tc>
      </w:tr>
    </w:tbl>
    <w:p w:rsidR="00997025" w:rsidRDefault="00997025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57B80" w:rsidRDefault="00057B8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57B80" w:rsidRDefault="00057B8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57B80" w:rsidRDefault="00057B8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57B80" w:rsidRDefault="00057B8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57B80" w:rsidRDefault="00057B80" w:rsidP="00057B8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p w:rsidR="00057B80" w:rsidRPr="00F07415" w:rsidRDefault="00057B80" w:rsidP="00057B80">
      <w:pPr>
        <w:spacing w:line="360" w:lineRule="exact"/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F07415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B5233D">
        <w:rPr>
          <w:rFonts w:hint="eastAsia"/>
        </w:rPr>
        <w:t xml:space="preserve"> </w:t>
      </w:r>
      <w:r w:rsidRPr="00057B80">
        <w:rPr>
          <w:rFonts w:asciiTheme="majorEastAsia" w:eastAsiaTheme="majorEastAsia" w:hAnsiTheme="majorEastAsia" w:hint="eastAsia"/>
          <w:sz w:val="28"/>
          <w:szCs w:val="28"/>
        </w:rPr>
        <w:t>司法救助</w:t>
      </w:r>
      <w:r w:rsidRPr="00057B80">
        <w:rPr>
          <w:rFonts w:asciiTheme="majorEastAsia" w:eastAsiaTheme="majorEastAsia" w:hAnsiTheme="majorEastAsia"/>
          <w:sz w:val="28"/>
          <w:szCs w:val="28"/>
        </w:rPr>
        <w:t>-2024</w:t>
      </w:r>
      <w:r w:rsidRPr="00057B80">
        <w:rPr>
          <w:rFonts w:asciiTheme="majorEastAsia" w:eastAsiaTheme="majorEastAsia" w:hAnsiTheme="majorEastAsia" w:hint="eastAsia"/>
          <w:sz w:val="28"/>
          <w:szCs w:val="28"/>
        </w:rPr>
        <w:t>中央</w:t>
      </w:r>
      <w:r w:rsidRPr="00F07415">
        <w:rPr>
          <w:rFonts w:asciiTheme="majorEastAsia" w:eastAsiaTheme="majorEastAsia" w:hAnsiTheme="majorEastAsia" w:cs="宋体" w:hint="eastAsia"/>
          <w:sz w:val="28"/>
          <w:szCs w:val="28"/>
        </w:rPr>
        <w:t>绩效目标表</w:t>
      </w:r>
    </w:p>
    <w:p w:rsidR="00057B80" w:rsidRPr="00F07415" w:rsidRDefault="00057B80" w:rsidP="00057B80">
      <w:pPr>
        <w:spacing w:line="360" w:lineRule="exact"/>
        <w:ind w:firstLineChars="49" w:firstLine="103"/>
        <w:rPr>
          <w:rFonts w:asciiTheme="minorEastAsia" w:eastAsiaTheme="minorEastAsia" w:hAnsiTheme="minorEastAsia" w:hint="eastAsia"/>
        </w:rPr>
      </w:pPr>
      <w:r w:rsidRPr="00F07415">
        <w:rPr>
          <w:rFonts w:asciiTheme="minorEastAsia" w:eastAsiaTheme="minorEastAsia" w:hAnsiTheme="minorEastAsia" w:hint="eastAsia"/>
          <w:b/>
          <w:sz w:val="21"/>
          <w:szCs w:val="21"/>
        </w:rPr>
        <w:t>202101-</w:t>
      </w:r>
      <w:r w:rsidRPr="00F07415">
        <w:rPr>
          <w:rFonts w:asciiTheme="minorEastAsia" w:eastAsiaTheme="minorEastAsia" w:hAnsiTheme="minorEastAsia" w:cs="宋体" w:hint="eastAsia"/>
          <w:b/>
          <w:sz w:val="21"/>
          <w:szCs w:val="21"/>
        </w:rPr>
        <w:t>天津市第一中级人民法院</w:t>
      </w:r>
      <w:r w:rsidRPr="00F07415">
        <w:rPr>
          <w:rFonts w:asciiTheme="minorEastAsia" w:eastAsiaTheme="minorEastAsia" w:hAnsiTheme="minorEastAsia" w:hint="eastAsia"/>
          <w:b/>
        </w:rPr>
        <w:t xml:space="preserve"> </w:t>
      </w:r>
      <w:r w:rsidRPr="00F07415">
        <w:rPr>
          <w:rFonts w:asciiTheme="minorEastAsia" w:eastAsiaTheme="minorEastAsia" w:hAnsiTheme="minorEastAsia" w:hint="eastAsia"/>
        </w:rPr>
        <w:t xml:space="preserve">                    </w:t>
      </w:r>
      <w:r>
        <w:rPr>
          <w:rFonts w:asciiTheme="minorEastAsia" w:eastAsiaTheme="minorEastAsia" w:hAnsiTheme="minorEastAsia" w:hint="eastAsia"/>
        </w:rPr>
        <w:t xml:space="preserve">      </w:t>
      </w:r>
      <w:r w:rsidRPr="00F07415">
        <w:rPr>
          <w:rFonts w:asciiTheme="minorEastAsia" w:eastAsiaTheme="minorEastAsia" w:hAnsiTheme="minorEastAsia" w:hint="eastAsia"/>
        </w:rPr>
        <w:t xml:space="preserve">              </w:t>
      </w:r>
      <w:r w:rsidRPr="00F07415">
        <w:rPr>
          <w:rFonts w:asciiTheme="minorEastAsia" w:eastAsiaTheme="minorEastAsia" w:hAnsiTheme="minorEastAsia" w:cs="宋体" w:hint="eastAsia"/>
          <w:sz w:val="21"/>
          <w:szCs w:val="21"/>
        </w:rPr>
        <w:t>单位：万元</w:t>
      </w:r>
    </w:p>
    <w:tbl>
      <w:tblPr>
        <w:tblW w:w="9371" w:type="dxa"/>
        <w:tblInd w:w="93" w:type="dxa"/>
        <w:tblLayout w:type="fixed"/>
        <w:tblLook w:val="04A0"/>
      </w:tblPr>
      <w:tblGrid>
        <w:gridCol w:w="1291"/>
        <w:gridCol w:w="1418"/>
        <w:gridCol w:w="1417"/>
        <w:gridCol w:w="1418"/>
        <w:gridCol w:w="1275"/>
        <w:gridCol w:w="1276"/>
        <w:gridCol w:w="1276"/>
      </w:tblGrid>
      <w:tr w:rsidR="00057B80" w:rsidRPr="002C7278" w:rsidTr="00C7130A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57B80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司法救助</w:t>
            </w:r>
            <w:r w:rsidRPr="00057B80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-2024</w:t>
            </w:r>
            <w:r w:rsidRPr="00057B80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中央</w:t>
            </w:r>
          </w:p>
        </w:tc>
      </w:tr>
      <w:tr w:rsidR="00057B80" w:rsidRPr="00F07415" w:rsidTr="00C7130A">
        <w:trPr>
          <w:trHeight w:val="779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预算规模及资金用途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其中：财政资金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31.00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B80" w:rsidRPr="002C7278" w:rsidRDefault="00057B80" w:rsidP="00C7130A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57B80" w:rsidRPr="002C7278" w:rsidTr="00C7130A">
        <w:trPr>
          <w:trHeight w:val="51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80" w:rsidRPr="002C7278" w:rsidRDefault="00057B80" w:rsidP="00C7130A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412E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障</w:t>
            </w:r>
            <w:r w:rsidRPr="000412E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审判执行工作正常顺利开展。</w:t>
            </w:r>
          </w:p>
        </w:tc>
      </w:tr>
      <w:tr w:rsidR="00057B80" w:rsidRPr="002C7278" w:rsidTr="00C7130A">
        <w:trPr>
          <w:trHeight w:val="41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rPr>
                <w:rFonts w:eastAsiaTheme="minorEastAsia"/>
              </w:rPr>
            </w:pP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1.通过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保障办案业务相关支出，保证审判执行工作正常顺利开展</w:t>
            </w:r>
            <w:r w:rsidRPr="002C727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057B80" w:rsidRPr="00F07415" w:rsidTr="00C7130A">
        <w:trPr>
          <w:trHeight w:val="41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三级指标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绩效指标描述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B80" w:rsidRPr="002C7278" w:rsidRDefault="00057B80" w:rsidP="00C7130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指标值</w:t>
            </w:r>
          </w:p>
        </w:tc>
      </w:tr>
      <w:tr w:rsidR="00BB6BD0" w:rsidRPr="00F07415" w:rsidTr="00BB6BD0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Pr="002C7278" w:rsidRDefault="00BB6BD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救助人数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救助人数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≥3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人</w:t>
            </w:r>
          </w:p>
        </w:tc>
      </w:tr>
      <w:tr w:rsidR="00BB6BD0" w:rsidRPr="002C7278" w:rsidTr="00BB6B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D0" w:rsidRPr="002C7278" w:rsidRDefault="00BB6BD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救助对象符合救助条件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救助对象符合救助条件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百分比</w:t>
            </w:r>
          </w:p>
        </w:tc>
      </w:tr>
      <w:tr w:rsidR="00BB6BD0" w:rsidRPr="002C7278" w:rsidTr="00BB6B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D0" w:rsidRPr="002C7278" w:rsidRDefault="00BB6BD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实施救助完成时间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实施救助完成时间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依据司法救助决定书及时发放</w:t>
            </w:r>
          </w:p>
        </w:tc>
      </w:tr>
      <w:tr w:rsidR="00BB6BD0" w:rsidRPr="002C7278" w:rsidTr="00BB6BD0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D0" w:rsidRPr="002C7278" w:rsidRDefault="00BB6BD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救助金额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救助金额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≤31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万元</w:t>
            </w:r>
          </w:p>
        </w:tc>
      </w:tr>
      <w:tr w:rsidR="00BB6BD0" w:rsidRPr="002C7278" w:rsidTr="00BB6BD0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Pr="002C7278" w:rsidRDefault="00BB6BD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依法救助，维护社会稳定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依法救助，维护社会稳定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Default="00BB6BD0" w:rsidP="00BB6BD0">
            <w:pPr>
              <w:jc w:val="both"/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百分比</w:t>
            </w:r>
          </w:p>
        </w:tc>
      </w:tr>
      <w:tr w:rsidR="00BB6BD0" w:rsidRPr="002C7278" w:rsidTr="00D8212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Pr="002C7278" w:rsidRDefault="00BB6BD0" w:rsidP="00C7130A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b/>
                <w:color w:val="000000"/>
                <w:sz w:val="21"/>
                <w:szCs w:val="21"/>
              </w:rPr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BD0" w:rsidRPr="002C7278" w:rsidRDefault="00BB6BD0" w:rsidP="00C7130A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BD0" w:rsidRDefault="00BB6BD0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救助对象满意度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6BD0" w:rsidRDefault="00BB6BD0">
            <w:pPr>
              <w:rPr>
                <w:rFonts w:ascii="Calibri" w:eastAsia="宋体" w:hAnsi="Calibri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救助对象满意度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6BD0" w:rsidRPr="002C7278" w:rsidRDefault="00BB6BD0" w:rsidP="00BB6BD0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≥9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5</w:t>
            </w:r>
            <w:r w:rsidRPr="002C727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百分比</w:t>
            </w:r>
          </w:p>
        </w:tc>
      </w:tr>
    </w:tbl>
    <w:p w:rsidR="00057B80" w:rsidRDefault="00057B80">
      <w:pPr>
        <w:pStyle w:val="Normal0"/>
        <w:spacing w:before="164" w:after="0" w:line="321" w:lineRule="exact"/>
        <w:jc w:val="left"/>
        <w:rPr>
          <w:rFonts w:ascii="TGEEFN+å®ä½" w:eastAsiaTheme="minorEastAsia" w:hAnsi="TGEEFN+å®ä½" w:cs="TGEEFN+å®ä½" w:hint="eastAsia"/>
          <w:color w:val="000000"/>
          <w:sz w:val="28"/>
          <w:lang w:eastAsia="zh-CN"/>
        </w:rPr>
      </w:pPr>
    </w:p>
    <w:sectPr w:rsidR="00057B80" w:rsidSect="008D3EA2">
      <w:footerReference w:type="default" r:id="rId7"/>
      <w:pgSz w:w="11880" w:h="16840"/>
      <w:pgMar w:top="1418" w:right="1304" w:bottom="1134" w:left="1304" w:header="720" w:footer="720" w:gutter="0"/>
      <w:pgNumType w:fmt="numberInDash"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50" w:rsidRDefault="00FD2B50" w:rsidP="00FD2B50">
      <w:r>
        <w:separator/>
      </w:r>
    </w:p>
  </w:endnote>
  <w:endnote w:type="continuationSeparator" w:id="1">
    <w:p w:rsidR="00FD2B50" w:rsidRDefault="00FD2B50" w:rsidP="00FD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GEEFN+å®ä½">
    <w:altName w:val="Segoe Print"/>
    <w:charset w:val="01"/>
    <w:family w:val="auto"/>
    <w:pitch w:val="default"/>
    <w:sig w:usb0="00000000" w:usb1="00000000" w:usb2="01010101" w:usb3="01010101" w:csb0="01010101" w:csb1="010101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A2" w:rsidRDefault="008D3EA2">
    <w:pPr>
      <w:pStyle w:val="a4"/>
      <w:jc w:val="center"/>
      <w:rPr>
        <w:rFonts w:asciiTheme="majorHAnsi" w:hAnsiTheme="majorHAnsi"/>
        <w:sz w:val="28"/>
        <w:szCs w:val="28"/>
      </w:rPr>
    </w:pPr>
  </w:p>
  <w:p w:rsidR="008D3EA2" w:rsidRDefault="008D3E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50" w:rsidRDefault="00FD2B50" w:rsidP="00FD2B50">
      <w:r>
        <w:separator/>
      </w:r>
    </w:p>
  </w:footnote>
  <w:footnote w:type="continuationSeparator" w:id="1">
    <w:p w:rsidR="00FD2B50" w:rsidRDefault="00FD2B50" w:rsidP="00FD2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E28"/>
    <w:rsid w:val="000412E5"/>
    <w:rsid w:val="00057B80"/>
    <w:rsid w:val="0008463E"/>
    <w:rsid w:val="00254424"/>
    <w:rsid w:val="008D3EA2"/>
    <w:rsid w:val="00910081"/>
    <w:rsid w:val="00981E28"/>
    <w:rsid w:val="00997025"/>
    <w:rsid w:val="00A12FD0"/>
    <w:rsid w:val="00B44179"/>
    <w:rsid w:val="00B5233D"/>
    <w:rsid w:val="00BB6BD0"/>
    <w:rsid w:val="00D745EC"/>
    <w:rsid w:val="00F07415"/>
    <w:rsid w:val="00FD2B50"/>
    <w:rsid w:val="063D0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E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981E2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Char"/>
    <w:rsid w:val="00FD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2B50"/>
    <w:rPr>
      <w:rFonts w:eastAsia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D3E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EA2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44E8-1E1D-4361-95BC-D3692436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2205</Words>
  <Characters>1169</Characters>
  <Application>Microsoft Office Word</Application>
  <DocSecurity>0</DocSecurity>
  <Lines>9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2025-02-17T11:18:00Z</cp:lastPrinted>
  <dcterms:created xsi:type="dcterms:W3CDTF">2025-02-17T08:31:00Z</dcterms:created>
  <dcterms:modified xsi:type="dcterms:W3CDTF">2025-02-17T11:37:00Z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524EEAEC82944D12B11358543F6A2FE2_13</vt:lpwstr>
  </property>
</Properties>
</file>