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_GBK" w:eastAsia="方正小标宋简体" w:cs="方正小标宋_GBK"/>
          <w:sz w:val="36"/>
          <w:szCs w:val="36"/>
        </w:rPr>
      </w:pPr>
      <w:bookmarkStart w:id="0" w:name="_Toc_4_4_0000000022"/>
    </w:p>
    <w:p>
      <w:pPr>
        <w:jc w:val="center"/>
        <w:rPr>
          <w:rFonts w:ascii="方正小标宋简体" w:hAnsi="方正小标宋_GBK" w:eastAsia="方正小标宋简体" w:cs="方正小标宋_GBK"/>
          <w:sz w:val="36"/>
          <w:szCs w:val="36"/>
        </w:rPr>
      </w:pPr>
    </w:p>
    <w:p>
      <w:pPr>
        <w:jc w:val="center"/>
        <w:rPr>
          <w:rFonts w:ascii="方正小标宋简体" w:hAnsi="方正小标宋_GBK" w:eastAsia="方正小标宋简体" w:cs="方正小标宋_GBK"/>
          <w:sz w:val="36"/>
          <w:szCs w:val="36"/>
        </w:rPr>
      </w:pPr>
    </w:p>
    <w:p>
      <w:pPr>
        <w:jc w:val="center"/>
        <w:rPr>
          <w:rFonts w:ascii="方正小标宋简体" w:hAnsi="方正小标宋_GBK" w:eastAsia="方正小标宋简体" w:cs="方正小标宋_GBK"/>
          <w:sz w:val="36"/>
          <w:szCs w:val="36"/>
        </w:rPr>
      </w:pPr>
    </w:p>
    <w:p>
      <w:pPr>
        <w:jc w:val="center"/>
        <w:rPr>
          <w:rFonts w:ascii="方正小标宋简体" w:hAnsi="方正小标宋_GBK" w:eastAsia="方正小标宋简体" w:cs="方正小标宋_GBK"/>
          <w:sz w:val="36"/>
          <w:szCs w:val="36"/>
        </w:rPr>
      </w:pPr>
    </w:p>
    <w:p>
      <w:pPr>
        <w:jc w:val="center"/>
        <w:rPr>
          <w:rFonts w:ascii="方正小标宋简体" w:hAnsi="方正小标宋_GBK" w:eastAsia="方正小标宋简体" w:cs="方正小标宋_GBK"/>
          <w:sz w:val="36"/>
          <w:szCs w:val="36"/>
        </w:rPr>
      </w:pPr>
    </w:p>
    <w:p>
      <w:pPr>
        <w:jc w:val="center"/>
        <w:rPr>
          <w:rFonts w:ascii="方正小标宋简体" w:hAnsi="方正小标宋_GBK" w:eastAsia="方正小标宋简体" w:cs="方正小标宋_GBK"/>
          <w:sz w:val="36"/>
          <w:szCs w:val="36"/>
        </w:rPr>
      </w:pPr>
    </w:p>
    <w:p>
      <w:pPr>
        <w:jc w:val="center"/>
        <w:rPr>
          <w:rFonts w:ascii="方正小标宋简体" w:hAnsi="方正小标宋_GBK" w:eastAsia="方正小标宋简体" w:cs="方正小标宋_GBK"/>
          <w:sz w:val="36"/>
          <w:szCs w:val="36"/>
        </w:rPr>
      </w:pPr>
    </w:p>
    <w:p>
      <w:pPr>
        <w:jc w:val="center"/>
        <w:rPr>
          <w:rFonts w:hint="eastAsia" w:eastAsia="方正小标宋简体"/>
          <w:sz w:val="48"/>
          <w:szCs w:val="48"/>
          <w:lang w:eastAsia="zh-CN"/>
        </w:rPr>
      </w:pPr>
      <w:r>
        <w:rPr>
          <w:rFonts w:ascii="方正小标宋简体" w:hAnsi="方正小标宋_GBK" w:eastAsia="方正小标宋简体" w:cs="方正小标宋_GBK"/>
          <w:sz w:val="48"/>
          <w:szCs w:val="48"/>
        </w:rPr>
        <w:t>天津市财政局</w:t>
      </w:r>
      <w:r>
        <w:rPr>
          <w:rFonts w:hint="eastAsia" w:ascii="方正小标宋简体" w:hAnsi="方正小标宋_GBK" w:eastAsia="方正小标宋简体" w:cs="方正小标宋_GBK"/>
          <w:sz w:val="48"/>
          <w:szCs w:val="48"/>
          <w:lang w:eastAsia="zh-CN"/>
        </w:rPr>
        <w:t>监督评价局</w:t>
      </w:r>
    </w:p>
    <w:p>
      <w:pPr>
        <w:jc w:val="center"/>
        <w:rPr>
          <w:rFonts w:ascii="方正小标宋简体" w:eastAsia="方正小标宋简体"/>
          <w:sz w:val="48"/>
          <w:szCs w:val="48"/>
        </w:rPr>
      </w:pPr>
      <w:r>
        <w:rPr>
          <w:rFonts w:hint="eastAsia" w:ascii="方正小标宋简体" w:hAnsi="方正小标宋_GBK" w:eastAsia="方正小标宋简体" w:cs="方正小标宋_GBK"/>
          <w:sz w:val="48"/>
          <w:szCs w:val="48"/>
        </w:rPr>
        <w:t>项目支出绩效目标表</w:t>
      </w:r>
    </w:p>
    <w:p>
      <w:pPr>
        <w:jc w:val="center"/>
        <w:rPr>
          <w:rFonts w:ascii="方正小标宋简体" w:eastAsia="方正小标宋简体"/>
          <w:sz w:val="48"/>
          <w:szCs w:val="48"/>
        </w:rPr>
      </w:pPr>
      <w:r>
        <w:rPr>
          <w:rFonts w:hint="eastAsia" w:ascii="方正小标宋简体" w:hAnsi="方正小标宋_GBK" w:eastAsia="方正小标宋简体" w:cs="方正小标宋_GBK"/>
          <w:sz w:val="48"/>
          <w:szCs w:val="48"/>
        </w:rPr>
        <w:t>（2025年）</w:t>
      </w:r>
    </w:p>
    <w:p>
      <w:pPr>
        <w:jc w:val="center"/>
      </w:pPr>
    </w:p>
    <w:p>
      <w:pPr>
        <w:jc w:val="center"/>
      </w:pPr>
    </w:p>
    <w:p>
      <w:pPr>
        <w:jc w:val="center"/>
      </w:pPr>
    </w:p>
    <w:p>
      <w:pPr>
        <w:jc w:val="center"/>
      </w:pPr>
    </w:p>
    <w:p>
      <w:pPr>
        <w:jc w:val="center"/>
      </w:pPr>
    </w:p>
    <w:p>
      <w:pPr>
        <w:jc w:val="center"/>
      </w:pPr>
    </w:p>
    <w:p>
      <w:pPr>
        <w:jc w:val="center"/>
        <w:sectPr>
          <w:headerReference r:id="rId4" w:type="first"/>
          <w:headerReference r:id="rId3" w:type="even"/>
          <w:footerReference r:id="rId5" w:type="even"/>
          <w:pgSz w:w="11900" w:h="16840"/>
          <w:pgMar w:top="1984" w:right="1304" w:bottom="1134" w:left="1304" w:header="720" w:footer="720" w:gutter="0"/>
          <w:cols w:space="720" w:num="1"/>
          <w:titlePg/>
        </w:sectPr>
      </w:pPr>
    </w:p>
    <w:p>
      <w:pPr>
        <w:jc w:val="center"/>
      </w:pPr>
    </w:p>
    <w:p>
      <w:pPr>
        <w:jc w:val="center"/>
        <w:outlineLvl w:val="0"/>
      </w:pPr>
      <w:r>
        <w:rPr>
          <w:rFonts w:hint="eastAsia" w:ascii="黑体" w:hAnsi="Times New Roman" w:eastAsia="黑体" w:cs="Times New Roman"/>
          <w:kern w:val="0"/>
          <w:sz w:val="44"/>
          <w:szCs w:val="44"/>
        </w:rPr>
        <w:t>目    录</w:t>
      </w:r>
      <w:bookmarkStart w:id="2" w:name="_GoBack"/>
      <w:bookmarkEnd w:id="2"/>
    </w:p>
    <w:p>
      <w:pPr>
        <w:jc w:val="center"/>
      </w:pPr>
    </w:p>
    <w:p>
      <w:pPr>
        <w:pStyle w:val="11"/>
        <w:tabs>
          <w:tab w:val="right" w:leader="dot" w:pos="9282"/>
        </w:tabs>
      </w:pPr>
      <w:r>
        <w:fldChar w:fldCharType="begin"/>
      </w:r>
      <w:r>
        <w:instrText xml:space="preserve">TOC \o "4-4" \h \z \u</w:instrText>
      </w:r>
      <w:r>
        <w:fldChar w:fldCharType="separate"/>
      </w:r>
    </w:p>
    <w:p>
      <w:pPr>
        <w:pStyle w:val="11"/>
        <w:tabs>
          <w:tab w:val="right" w:leader="dot" w:pos="9282"/>
        </w:tabs>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fldChar w:fldCharType="begin"/>
      </w:r>
      <w:r>
        <w:rPr>
          <w:rFonts w:hint="eastAsia" w:ascii="仿宋_GB2312" w:hAnsi="仿宋_GB2312" w:eastAsia="仿宋_GB2312" w:cs="仿宋_GB2312"/>
          <w:sz w:val="30"/>
          <w:szCs w:val="30"/>
          <w:highlight w:val="none"/>
        </w:rPr>
        <w:instrText xml:space="preserve"> HYPERLINK \l "_Toc_4_4_0000000022" </w:instrText>
      </w:r>
      <w:r>
        <w:rPr>
          <w:rFonts w:hint="eastAsia" w:ascii="仿宋_GB2312" w:hAnsi="仿宋_GB2312" w:eastAsia="仿宋_GB2312" w:cs="仿宋_GB2312"/>
          <w:sz w:val="30"/>
          <w:szCs w:val="30"/>
          <w:highlight w:val="none"/>
        </w:rPr>
        <w:fldChar w:fldCharType="separate"/>
      </w:r>
      <w:r>
        <w:rPr>
          <w:rFonts w:hint="eastAsia" w:ascii="仿宋_GB2312" w:hAnsi="仿宋_GB2312" w:eastAsia="仿宋_GB2312" w:cs="仿宋_GB2312"/>
          <w:sz w:val="30"/>
          <w:szCs w:val="30"/>
          <w:highlight w:val="none"/>
        </w:rPr>
        <w:t>1.财会监督项目经费绩效目标表</w:t>
      </w:r>
      <w:r>
        <w:rPr>
          <w:rFonts w:hint="eastAsia" w:ascii="仿宋_GB2312" w:hAnsi="仿宋_GB2312" w:eastAsia="仿宋_GB2312" w:cs="仿宋_GB2312"/>
          <w:sz w:val="30"/>
          <w:szCs w:val="30"/>
          <w:highlight w:val="none"/>
        </w:rPr>
        <w:fldChar w:fldCharType="end"/>
      </w:r>
    </w:p>
    <w:p>
      <w:pPr>
        <w:pStyle w:val="11"/>
        <w:tabs>
          <w:tab w:val="right" w:leader="dot" w:pos="9282"/>
        </w:tabs>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fldChar w:fldCharType="begin"/>
      </w:r>
      <w:r>
        <w:rPr>
          <w:rFonts w:hint="eastAsia" w:ascii="仿宋_GB2312" w:hAnsi="仿宋_GB2312" w:eastAsia="仿宋_GB2312" w:cs="仿宋_GB2312"/>
          <w:sz w:val="30"/>
          <w:szCs w:val="30"/>
          <w:highlight w:val="none"/>
        </w:rPr>
        <w:instrText xml:space="preserve"> HYPERLINK \l "_Toc_4_4_0000000023" </w:instrText>
      </w:r>
      <w:r>
        <w:rPr>
          <w:rFonts w:hint="eastAsia" w:ascii="仿宋_GB2312" w:hAnsi="仿宋_GB2312" w:eastAsia="仿宋_GB2312" w:cs="仿宋_GB2312"/>
          <w:sz w:val="30"/>
          <w:szCs w:val="30"/>
          <w:highlight w:val="none"/>
        </w:rPr>
        <w:fldChar w:fldCharType="separate"/>
      </w:r>
      <w:r>
        <w:rPr>
          <w:rFonts w:hint="eastAsia" w:ascii="仿宋_GB2312" w:hAnsi="仿宋_GB2312" w:eastAsia="仿宋_GB2312" w:cs="仿宋_GB2312"/>
          <w:sz w:val="30"/>
          <w:szCs w:val="30"/>
          <w:highlight w:val="none"/>
        </w:rPr>
        <w:t>2.预算绩效评价项目经费绩效目标表</w:t>
      </w:r>
      <w:r>
        <w:rPr>
          <w:rFonts w:hint="eastAsia" w:ascii="仿宋_GB2312" w:hAnsi="仿宋_GB2312" w:eastAsia="仿宋_GB2312" w:cs="仿宋_GB2312"/>
          <w:sz w:val="30"/>
          <w:szCs w:val="30"/>
          <w:highlight w:val="none"/>
        </w:rPr>
        <w:fldChar w:fldCharType="end"/>
      </w:r>
    </w:p>
    <w:p>
      <w:pPr>
        <w:rPr>
          <w:rFonts w:ascii="方正仿宋_GBK" w:hAnsi="方正仿宋_GBK" w:eastAsia="方正仿宋_GBK" w:cs="方正仿宋_GBK"/>
          <w:sz w:val="28"/>
        </w:rPr>
      </w:pPr>
      <w:r>
        <w:fldChar w:fldCharType="end"/>
      </w:r>
      <w:r>
        <w:rPr>
          <w:rFonts w:ascii="方正仿宋_GBK" w:hAnsi="方正仿宋_GBK" w:eastAsia="方正仿宋_GBK" w:cs="方正仿宋_GBK"/>
          <w:sz w:val="28"/>
        </w:rPr>
        <w:br w:type="page"/>
      </w:r>
    </w:p>
    <w:p>
      <w:pPr>
        <w:ind w:firstLine="560"/>
        <w:outlineLvl w:val="3"/>
      </w:pPr>
      <w:r>
        <w:rPr>
          <w:rFonts w:ascii="方正仿宋_GBK" w:hAnsi="方正仿宋_GBK" w:eastAsia="方正仿宋_GBK" w:cs="方正仿宋_GBK"/>
          <w:sz w:val="28"/>
        </w:rPr>
        <w:t>1.财会监督项目经费绩效目标表</w:t>
      </w:r>
      <w:bookmarkEnd w:id="0"/>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6"/>
            </w:pPr>
            <w:r>
              <w:t>351105天津市财政局监督评价局</w:t>
            </w:r>
          </w:p>
        </w:tc>
        <w:tc>
          <w:tcPr>
            <w:tcW w:w="1276" w:type="dxa"/>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项目名称</w:t>
            </w:r>
          </w:p>
        </w:tc>
        <w:tc>
          <w:tcPr>
            <w:tcW w:w="8590" w:type="dxa"/>
            <w:gridSpan w:val="6"/>
            <w:vAlign w:val="center"/>
          </w:tcPr>
          <w:p>
            <w:pPr>
              <w:pStyle w:val="9"/>
            </w:pPr>
            <w:r>
              <w:t>财会监督项目经费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9"/>
            </w:pPr>
            <w:r>
              <w:t>124.00</w:t>
            </w:r>
          </w:p>
        </w:tc>
        <w:tc>
          <w:tcPr>
            <w:tcW w:w="1587" w:type="dxa"/>
            <w:vAlign w:val="center"/>
          </w:tcPr>
          <w:p>
            <w:pPr>
              <w:pStyle w:val="8"/>
            </w:pPr>
            <w:r>
              <w:t>其中：财政    资金</w:t>
            </w:r>
          </w:p>
        </w:tc>
        <w:tc>
          <w:tcPr>
            <w:tcW w:w="1843" w:type="dxa"/>
            <w:vAlign w:val="center"/>
          </w:tcPr>
          <w:p>
            <w:pPr>
              <w:pStyle w:val="9"/>
            </w:pPr>
            <w:r>
              <w:t>124.00</w:t>
            </w:r>
          </w:p>
        </w:tc>
        <w:tc>
          <w:tcPr>
            <w:tcW w:w="1276" w:type="dxa"/>
            <w:vAlign w:val="center"/>
          </w:tcPr>
          <w:p>
            <w:pPr>
              <w:pStyle w:val="8"/>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9"/>
            </w:pPr>
            <w:r>
              <w:t>1.通过支付物业费及采暖费改善工作环境，保障财会监督工作和大数据专班工作稳定运转，提高工作效率，增强后勤保障能力；2.通过支付专业人员劳务费，保证我局在规定时间内高效完成工作任务，监督检查工作做到事实清楚、证据确凿、定性准确，规避执法风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590" w:type="dxa"/>
            <w:gridSpan w:val="6"/>
            <w:vAlign w:val="center"/>
          </w:tcPr>
          <w:p>
            <w:pPr>
              <w:pStyle w:val="9"/>
            </w:pPr>
            <w:r>
              <w:t>1.为保证财会监督工作和大数据专班工作的稳定运转，提高工作效率，增强后勤保障能力，通过与供热公司、物业公司签订服务协议的方式，由供热公司提供冬季供热，物业公司提供办公楼内电梯使用、自用部分维修、保安保洁、垃圾处理、公车驾驶、食堂管理等服务，改善工作环境，提高干部工作效率，维持日常工作运转。</w:t>
            </w:r>
          </w:p>
          <w:p>
            <w:pPr>
              <w:pStyle w:val="9"/>
            </w:pPr>
            <w:r>
              <w:t>2.通过聘请注册会计师（评估师）等专业人员参与财政监督检查、土地成本复核等工作，协助我局在规定的时间内高效完成工作任务，保证财政监督检查工作做到事实清楚、证据确凿、定性准确，规避执法风险。</w:t>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3430" w:type="dxa"/>
            <w:vAlign w:val="center"/>
          </w:tcPr>
          <w:p>
            <w:pPr>
              <w:pStyle w:val="8"/>
            </w:pPr>
            <w:r>
              <w:t>绩效指标描述</w:t>
            </w:r>
          </w:p>
        </w:tc>
        <w:tc>
          <w:tcPr>
            <w:tcW w:w="2551" w:type="dxa"/>
            <w:vAlign w:val="center"/>
          </w:tcPr>
          <w:p>
            <w:pPr>
              <w:pStyle w:val="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产出指标</w:t>
            </w:r>
          </w:p>
        </w:tc>
        <w:tc>
          <w:tcPr>
            <w:tcW w:w="1276" w:type="dxa"/>
            <w:vAlign w:val="center"/>
          </w:tcPr>
          <w:p>
            <w:pPr>
              <w:pStyle w:val="9"/>
            </w:pPr>
            <w:r>
              <w:t>数量指标</w:t>
            </w:r>
          </w:p>
        </w:tc>
        <w:tc>
          <w:tcPr>
            <w:tcW w:w="1332" w:type="dxa"/>
            <w:vAlign w:val="center"/>
          </w:tcPr>
          <w:p>
            <w:pPr>
              <w:pStyle w:val="9"/>
            </w:pPr>
            <w:r>
              <w:t>物业管理服务面积</w:t>
            </w:r>
          </w:p>
        </w:tc>
        <w:tc>
          <w:tcPr>
            <w:tcW w:w="3430" w:type="dxa"/>
            <w:vAlign w:val="center"/>
          </w:tcPr>
          <w:p>
            <w:pPr>
              <w:pStyle w:val="9"/>
            </w:pPr>
            <w:r>
              <w:t>物业管理服务面积</w:t>
            </w:r>
          </w:p>
        </w:tc>
        <w:tc>
          <w:tcPr>
            <w:tcW w:w="2551" w:type="dxa"/>
            <w:vAlign w:val="center"/>
          </w:tcPr>
          <w:p>
            <w:pPr>
              <w:pStyle w:val="9"/>
            </w:pPr>
            <w:r>
              <w:t>≥7000平方米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物业和食堂服务达标率</w:t>
            </w:r>
          </w:p>
        </w:tc>
        <w:tc>
          <w:tcPr>
            <w:tcW w:w="3430" w:type="dxa"/>
            <w:vAlign w:val="center"/>
          </w:tcPr>
          <w:p>
            <w:pPr>
              <w:pStyle w:val="9"/>
            </w:pPr>
            <w:r>
              <w:t>自用部分维修、保安保洁、垃圾处理、公车驾驶、食堂管理等服务质量达到合同标准达标率</w:t>
            </w:r>
          </w:p>
        </w:tc>
        <w:tc>
          <w:tcPr>
            <w:tcW w:w="2551" w:type="dxa"/>
            <w:vAlign w:val="center"/>
          </w:tcPr>
          <w:p>
            <w:pPr>
              <w:pStyle w:val="9"/>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物业服务及时率</w:t>
            </w:r>
          </w:p>
        </w:tc>
        <w:tc>
          <w:tcPr>
            <w:tcW w:w="3430" w:type="dxa"/>
            <w:vAlign w:val="center"/>
          </w:tcPr>
          <w:p>
            <w:pPr>
              <w:pStyle w:val="9"/>
            </w:pPr>
            <w:r>
              <w:t>物业公司提供服务的及时率</w:t>
            </w:r>
          </w:p>
        </w:tc>
        <w:tc>
          <w:tcPr>
            <w:tcW w:w="2551" w:type="dxa"/>
            <w:vAlign w:val="center"/>
          </w:tcPr>
          <w:p>
            <w:pPr>
              <w:pStyle w:val="9"/>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物业服务费用</w:t>
            </w:r>
          </w:p>
        </w:tc>
        <w:tc>
          <w:tcPr>
            <w:tcW w:w="3430" w:type="dxa"/>
            <w:vAlign w:val="center"/>
          </w:tcPr>
          <w:p>
            <w:pPr>
              <w:pStyle w:val="9"/>
            </w:pPr>
            <w:r>
              <w:t>物业提供全年服务所需费用</w:t>
            </w:r>
          </w:p>
        </w:tc>
        <w:tc>
          <w:tcPr>
            <w:tcW w:w="2551" w:type="dxa"/>
            <w:vAlign w:val="center"/>
          </w:tcPr>
          <w:p>
            <w:pPr>
              <w:pStyle w:val="9"/>
            </w:pPr>
            <w:r>
              <w:t>≤96万元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供暖面积</w:t>
            </w:r>
          </w:p>
        </w:tc>
        <w:tc>
          <w:tcPr>
            <w:tcW w:w="3430" w:type="dxa"/>
            <w:vAlign w:val="center"/>
          </w:tcPr>
          <w:p>
            <w:pPr>
              <w:pStyle w:val="9"/>
            </w:pPr>
            <w:r>
              <w:t>提供供热服务的面积</w:t>
            </w:r>
          </w:p>
        </w:tc>
        <w:tc>
          <w:tcPr>
            <w:tcW w:w="2551" w:type="dxa"/>
            <w:vAlign w:val="center"/>
          </w:tcPr>
          <w:p>
            <w:pPr>
              <w:pStyle w:val="9"/>
            </w:pPr>
            <w:r>
              <w:t>≥2400平方米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室内温度达标率</w:t>
            </w:r>
          </w:p>
        </w:tc>
        <w:tc>
          <w:tcPr>
            <w:tcW w:w="3430" w:type="dxa"/>
            <w:vAlign w:val="center"/>
          </w:tcPr>
          <w:p>
            <w:pPr>
              <w:pStyle w:val="9"/>
            </w:pPr>
            <w:r>
              <w:t>按照市政府规定，我局办公室室内温度达到文件要求标准</w:t>
            </w:r>
          </w:p>
        </w:tc>
        <w:tc>
          <w:tcPr>
            <w:tcW w:w="2551" w:type="dxa"/>
            <w:vAlign w:val="center"/>
          </w:tcPr>
          <w:p>
            <w:pPr>
              <w:pStyle w:val="9"/>
            </w:pPr>
            <w:r>
              <w:t>≥85百分比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采暖维修及时率</w:t>
            </w:r>
          </w:p>
        </w:tc>
        <w:tc>
          <w:tcPr>
            <w:tcW w:w="3430" w:type="dxa"/>
            <w:vAlign w:val="center"/>
          </w:tcPr>
          <w:p>
            <w:pPr>
              <w:pStyle w:val="9"/>
            </w:pPr>
            <w:r>
              <w:t>我局办公楼内因暖气管道出现跑冒滴漏、温度不达标等问题进行维修的及时性</w:t>
            </w:r>
          </w:p>
        </w:tc>
        <w:tc>
          <w:tcPr>
            <w:tcW w:w="2551" w:type="dxa"/>
            <w:vAlign w:val="center"/>
          </w:tcPr>
          <w:p>
            <w:pPr>
              <w:pStyle w:val="9"/>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部分供热费用成本</w:t>
            </w:r>
          </w:p>
        </w:tc>
        <w:tc>
          <w:tcPr>
            <w:tcW w:w="3430" w:type="dxa"/>
            <w:vAlign w:val="center"/>
          </w:tcPr>
          <w:p>
            <w:pPr>
              <w:pStyle w:val="9"/>
            </w:pPr>
            <w:r>
              <w:t>提供供热服务所需的费用</w:t>
            </w:r>
          </w:p>
        </w:tc>
        <w:tc>
          <w:tcPr>
            <w:tcW w:w="2551" w:type="dxa"/>
            <w:vAlign w:val="center"/>
          </w:tcPr>
          <w:p>
            <w:pPr>
              <w:pStyle w:val="9"/>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财政监督检查项目个数</w:t>
            </w:r>
          </w:p>
        </w:tc>
        <w:tc>
          <w:tcPr>
            <w:tcW w:w="3430" w:type="dxa"/>
            <w:vAlign w:val="center"/>
          </w:tcPr>
          <w:p>
            <w:pPr>
              <w:pStyle w:val="9"/>
            </w:pPr>
            <w:r>
              <w:t>2025年完成财政监督检查项目户数</w:t>
            </w:r>
          </w:p>
        </w:tc>
        <w:tc>
          <w:tcPr>
            <w:tcW w:w="2551" w:type="dxa"/>
            <w:vAlign w:val="center"/>
          </w:tcPr>
          <w:p>
            <w:pPr>
              <w:pStyle w:val="9"/>
            </w:pPr>
            <w:r>
              <w:t>≥30户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检查、复核报告合格率</w:t>
            </w:r>
          </w:p>
        </w:tc>
        <w:tc>
          <w:tcPr>
            <w:tcW w:w="3430" w:type="dxa"/>
            <w:vAlign w:val="center"/>
          </w:tcPr>
          <w:p>
            <w:pPr>
              <w:pStyle w:val="9"/>
            </w:pPr>
            <w:r>
              <w:t>按要求完成财政监督检查报告、土地成本复核报告质量情况</w:t>
            </w:r>
          </w:p>
        </w:tc>
        <w:tc>
          <w:tcPr>
            <w:tcW w:w="2551" w:type="dxa"/>
            <w:vAlign w:val="center"/>
          </w:tcPr>
          <w:p>
            <w:pPr>
              <w:pStyle w:val="9"/>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财会监督工作按时完成率</w:t>
            </w:r>
          </w:p>
        </w:tc>
        <w:tc>
          <w:tcPr>
            <w:tcW w:w="3430" w:type="dxa"/>
            <w:vAlign w:val="center"/>
          </w:tcPr>
          <w:p>
            <w:pPr>
              <w:pStyle w:val="9"/>
            </w:pPr>
            <w:r>
              <w:t>按聘用要求在规定时间内协助我局完成财会监督工作任务的按时完成比率</w:t>
            </w:r>
          </w:p>
        </w:tc>
        <w:tc>
          <w:tcPr>
            <w:tcW w:w="2551" w:type="dxa"/>
            <w:vAlign w:val="center"/>
          </w:tcPr>
          <w:p>
            <w:pPr>
              <w:pStyle w:val="9"/>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外聘人员参与检查、复核成本</w:t>
            </w:r>
          </w:p>
        </w:tc>
        <w:tc>
          <w:tcPr>
            <w:tcW w:w="3430" w:type="dxa"/>
            <w:vAlign w:val="center"/>
          </w:tcPr>
          <w:p>
            <w:pPr>
              <w:pStyle w:val="9"/>
            </w:pPr>
            <w:r>
              <w:t>外聘专业人员费用支出成本</w:t>
            </w:r>
          </w:p>
        </w:tc>
        <w:tc>
          <w:tcPr>
            <w:tcW w:w="2551" w:type="dxa"/>
            <w:vAlign w:val="center"/>
          </w:tcPr>
          <w:p>
            <w:pPr>
              <w:pStyle w:val="9"/>
            </w:pPr>
            <w:r>
              <w:t>≤18万元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效益指标</w:t>
            </w:r>
          </w:p>
        </w:tc>
        <w:tc>
          <w:tcPr>
            <w:tcW w:w="1276" w:type="dxa"/>
            <w:vAlign w:val="center"/>
          </w:tcPr>
          <w:p>
            <w:pPr>
              <w:pStyle w:val="9"/>
            </w:pPr>
            <w:r>
              <w:t>社会效益指标</w:t>
            </w:r>
          </w:p>
        </w:tc>
        <w:tc>
          <w:tcPr>
            <w:tcW w:w="1332" w:type="dxa"/>
            <w:vAlign w:val="center"/>
          </w:tcPr>
          <w:p>
            <w:pPr>
              <w:pStyle w:val="9"/>
            </w:pPr>
            <w:r>
              <w:t>设施正常运转率</w:t>
            </w:r>
          </w:p>
        </w:tc>
        <w:tc>
          <w:tcPr>
            <w:tcW w:w="3430" w:type="dxa"/>
            <w:vAlign w:val="center"/>
          </w:tcPr>
          <w:p>
            <w:pPr>
              <w:pStyle w:val="9"/>
            </w:pPr>
            <w:r>
              <w:t>与物业服务相关设施能够正常运转率；供暖服务相关设施正常运转率</w:t>
            </w:r>
          </w:p>
        </w:tc>
        <w:tc>
          <w:tcPr>
            <w:tcW w:w="2551" w:type="dxa"/>
            <w:vAlign w:val="center"/>
          </w:tcPr>
          <w:p>
            <w:pPr>
              <w:pStyle w:val="9"/>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效益指标</w:t>
            </w:r>
          </w:p>
        </w:tc>
        <w:tc>
          <w:tcPr>
            <w:tcW w:w="1276" w:type="dxa"/>
            <w:vAlign w:val="center"/>
          </w:tcPr>
          <w:p>
            <w:pPr>
              <w:pStyle w:val="9"/>
            </w:pPr>
            <w:r>
              <w:t>可持续影响指标</w:t>
            </w:r>
          </w:p>
        </w:tc>
        <w:tc>
          <w:tcPr>
            <w:tcW w:w="1332" w:type="dxa"/>
            <w:vAlign w:val="center"/>
          </w:tcPr>
          <w:p>
            <w:pPr>
              <w:pStyle w:val="9"/>
            </w:pPr>
            <w:r>
              <w:t>保障监督检查、成本复核工作事实清楚，规避执法风险</w:t>
            </w:r>
          </w:p>
        </w:tc>
        <w:tc>
          <w:tcPr>
            <w:tcW w:w="3430" w:type="dxa"/>
            <w:vAlign w:val="center"/>
          </w:tcPr>
          <w:p>
            <w:pPr>
              <w:pStyle w:val="9"/>
            </w:pPr>
            <w:r>
              <w:t>通过聘请注册会计师（评估师）等专业人员协助参与财政监督检查、土地成本复核等工作，保证财政监督检查工作做到事实清楚、证据确凿、定性准确，规避执法风险。</w:t>
            </w:r>
          </w:p>
        </w:tc>
        <w:tc>
          <w:tcPr>
            <w:tcW w:w="2551" w:type="dxa"/>
            <w:vAlign w:val="center"/>
          </w:tcPr>
          <w:p>
            <w:pPr>
              <w:pStyle w:val="9"/>
            </w:pPr>
            <w:r>
              <w:t>通过聘请注册会计师（评估师）等专业人员协助参与财政监督检查、土地成本复核等工作，确保在规定的时间内高效完成工作任务，保证财政监督检查工作做到事实清楚、证据确凿、定性准确，规避执法风险。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满意度指标</w:t>
            </w:r>
          </w:p>
        </w:tc>
        <w:tc>
          <w:tcPr>
            <w:tcW w:w="1276" w:type="dxa"/>
            <w:vAlign w:val="center"/>
          </w:tcPr>
          <w:p>
            <w:pPr>
              <w:pStyle w:val="9"/>
            </w:pPr>
            <w:r>
              <w:t>服务对象满意度指标</w:t>
            </w:r>
          </w:p>
        </w:tc>
        <w:tc>
          <w:tcPr>
            <w:tcW w:w="1332" w:type="dxa"/>
            <w:vAlign w:val="center"/>
          </w:tcPr>
          <w:p>
            <w:pPr>
              <w:pStyle w:val="9"/>
            </w:pPr>
            <w:r>
              <w:t>干部职工满意度</w:t>
            </w:r>
          </w:p>
        </w:tc>
        <w:tc>
          <w:tcPr>
            <w:tcW w:w="3430" w:type="dxa"/>
            <w:vAlign w:val="center"/>
          </w:tcPr>
          <w:p>
            <w:pPr>
              <w:pStyle w:val="9"/>
            </w:pPr>
            <w:r>
              <w:t>通过外聘专业人员和公司提高服务、协助干部工作等方式，提高干部职工满意度</w:t>
            </w:r>
          </w:p>
        </w:tc>
        <w:tc>
          <w:tcPr>
            <w:tcW w:w="2551" w:type="dxa"/>
            <w:vAlign w:val="center"/>
          </w:tcPr>
          <w:p>
            <w:pPr>
              <w:pStyle w:val="9"/>
            </w:pPr>
            <w:r>
              <w:t>≥95百分比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1" w:name="_Toc_4_4_0000000023"/>
      <w:r>
        <w:rPr>
          <w:rFonts w:ascii="方正仿宋_GBK" w:hAnsi="方正仿宋_GBK" w:eastAsia="方正仿宋_GBK" w:cs="方正仿宋_GBK"/>
          <w:sz w:val="28"/>
        </w:rPr>
        <w:t>2.预算绩效评价项目经费绩效目标表</w:t>
      </w:r>
      <w:bookmarkEnd w:id="1"/>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6"/>
            </w:pPr>
            <w:r>
              <w:t>351105天津市财政局监督评价局</w:t>
            </w:r>
          </w:p>
        </w:tc>
        <w:tc>
          <w:tcPr>
            <w:tcW w:w="1276" w:type="dxa"/>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项目名称</w:t>
            </w:r>
          </w:p>
        </w:tc>
        <w:tc>
          <w:tcPr>
            <w:tcW w:w="8590" w:type="dxa"/>
            <w:gridSpan w:val="6"/>
            <w:vAlign w:val="center"/>
          </w:tcPr>
          <w:p>
            <w:pPr>
              <w:pStyle w:val="9"/>
            </w:pPr>
            <w:r>
              <w:t>预算绩效评价项目经费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9"/>
            </w:pPr>
            <w:r>
              <w:t>179.00</w:t>
            </w:r>
          </w:p>
        </w:tc>
        <w:tc>
          <w:tcPr>
            <w:tcW w:w="1587" w:type="dxa"/>
            <w:vAlign w:val="center"/>
          </w:tcPr>
          <w:p>
            <w:pPr>
              <w:pStyle w:val="8"/>
            </w:pPr>
            <w:r>
              <w:t>其中：财政    资金</w:t>
            </w:r>
          </w:p>
        </w:tc>
        <w:tc>
          <w:tcPr>
            <w:tcW w:w="1843" w:type="dxa"/>
            <w:vAlign w:val="center"/>
          </w:tcPr>
          <w:p>
            <w:pPr>
              <w:pStyle w:val="9"/>
            </w:pPr>
            <w:r>
              <w:t>179.00</w:t>
            </w:r>
          </w:p>
        </w:tc>
        <w:tc>
          <w:tcPr>
            <w:tcW w:w="1276" w:type="dxa"/>
            <w:vAlign w:val="center"/>
          </w:tcPr>
          <w:p>
            <w:pPr>
              <w:pStyle w:val="8"/>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9"/>
            </w:pPr>
            <w:r>
              <w:t>1.通过聘请专业技术人员，保证绩效评价工作做到事实清楚、证据确凿、定性准确，规避执法风险；2.通过拟聘请第三方专业机构协助开展项目重点评价工作，规范财政资金使用，提高资金效益；3.按照2024年重点项目绩效评价招标结果及财政局监督评价局与各第三方机构签订的合同要求，在第三方机构出具报告达到要求的前提下，按时、足额支付合同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590" w:type="dxa"/>
            <w:gridSpan w:val="6"/>
            <w:vAlign w:val="center"/>
          </w:tcPr>
          <w:p>
            <w:pPr>
              <w:pStyle w:val="9"/>
            </w:pPr>
            <w:r>
              <w:t>1.在规定的时间内高效完成自主绩效评价项目工作任务，评价过程中需要聘请专业技术人才（包括但不限于财务、法律、项目相关业务等领域）参与评价工作，保证绩效评价工作做到事实清楚、证据确凿、定性准确，规避执法风险。</w:t>
            </w:r>
          </w:p>
          <w:p>
            <w:pPr>
              <w:pStyle w:val="9"/>
            </w:pPr>
            <w:r>
              <w:t>2.按照2024年重点项目绩效评价招标结果及财政局监督评价局与各第三方机构签订的合同要求，在第三方机构出具报告达到要求的前提下，按时、足额支付合同尾款。</w:t>
            </w:r>
          </w:p>
          <w:p>
            <w:pPr>
              <w:pStyle w:val="9"/>
            </w:pPr>
            <w:r>
              <w:t>3.市级财政支出项目绩效评价是全流程预算绩效管理的重要组成部分，对于规范财政资金规范使用，提高资金效益有重大意义。按照市财政局工作安排，2025年我局拟聘请第三方专业机构协助开展项目重点评价工作，从项目管理、资金投入、项目产出、绩效目标、项目效益等多方面开展评价。</w:t>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3430" w:type="dxa"/>
            <w:vAlign w:val="center"/>
          </w:tcPr>
          <w:p>
            <w:pPr>
              <w:pStyle w:val="8"/>
            </w:pPr>
            <w:r>
              <w:t>绩效指标描述</w:t>
            </w:r>
          </w:p>
        </w:tc>
        <w:tc>
          <w:tcPr>
            <w:tcW w:w="2551" w:type="dxa"/>
            <w:vAlign w:val="center"/>
          </w:tcPr>
          <w:p>
            <w:pPr>
              <w:pStyle w:val="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产出指标</w:t>
            </w:r>
          </w:p>
        </w:tc>
        <w:tc>
          <w:tcPr>
            <w:tcW w:w="1276" w:type="dxa"/>
            <w:vAlign w:val="center"/>
          </w:tcPr>
          <w:p>
            <w:pPr>
              <w:pStyle w:val="9"/>
            </w:pPr>
            <w:r>
              <w:t>数量指标</w:t>
            </w:r>
          </w:p>
        </w:tc>
        <w:tc>
          <w:tcPr>
            <w:tcW w:w="1332" w:type="dxa"/>
            <w:vAlign w:val="center"/>
          </w:tcPr>
          <w:p>
            <w:pPr>
              <w:pStyle w:val="9"/>
            </w:pPr>
            <w:r>
              <w:t>自主完成评价项目数量</w:t>
            </w:r>
          </w:p>
        </w:tc>
        <w:tc>
          <w:tcPr>
            <w:tcW w:w="3430" w:type="dxa"/>
            <w:vAlign w:val="center"/>
          </w:tcPr>
          <w:p>
            <w:pPr>
              <w:pStyle w:val="9"/>
            </w:pPr>
            <w:r>
              <w:t>自主完成绩效评价项目数量</w:t>
            </w:r>
          </w:p>
        </w:tc>
        <w:tc>
          <w:tcPr>
            <w:tcW w:w="2551" w:type="dxa"/>
            <w:vAlign w:val="center"/>
          </w:tcPr>
          <w:p>
            <w:pPr>
              <w:pStyle w:val="9"/>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自主完成评价报告达标率</w:t>
            </w:r>
          </w:p>
        </w:tc>
        <w:tc>
          <w:tcPr>
            <w:tcW w:w="3430" w:type="dxa"/>
            <w:vAlign w:val="center"/>
          </w:tcPr>
          <w:p>
            <w:pPr>
              <w:pStyle w:val="9"/>
            </w:pPr>
            <w:r>
              <w:t>自主完成绩效评价报告符合报告标准要求的比率</w:t>
            </w:r>
          </w:p>
        </w:tc>
        <w:tc>
          <w:tcPr>
            <w:tcW w:w="2551" w:type="dxa"/>
            <w:vAlign w:val="center"/>
          </w:tcPr>
          <w:p>
            <w:pPr>
              <w:pStyle w:val="9"/>
            </w:pPr>
            <w:r>
              <w:t>≥95百分比</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自主评价工作按时完成率</w:t>
            </w:r>
          </w:p>
        </w:tc>
        <w:tc>
          <w:tcPr>
            <w:tcW w:w="3430" w:type="dxa"/>
            <w:vAlign w:val="center"/>
          </w:tcPr>
          <w:p>
            <w:pPr>
              <w:pStyle w:val="9"/>
            </w:pPr>
            <w:r>
              <w:t>自主绩效评价工作在规定时间内完成的比率</w:t>
            </w:r>
          </w:p>
        </w:tc>
        <w:tc>
          <w:tcPr>
            <w:tcW w:w="2551" w:type="dxa"/>
            <w:vAlign w:val="center"/>
          </w:tcPr>
          <w:p>
            <w:pPr>
              <w:pStyle w:val="9"/>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自主评价项目外聘专家费用</w:t>
            </w:r>
          </w:p>
        </w:tc>
        <w:tc>
          <w:tcPr>
            <w:tcW w:w="3430" w:type="dxa"/>
            <w:vAlign w:val="center"/>
          </w:tcPr>
          <w:p>
            <w:pPr>
              <w:pStyle w:val="9"/>
            </w:pPr>
            <w:r>
              <w:t>聘请专业人员参与自主绩效评价的费用</w:t>
            </w:r>
          </w:p>
        </w:tc>
        <w:tc>
          <w:tcPr>
            <w:tcW w:w="2551" w:type="dxa"/>
            <w:vAlign w:val="center"/>
          </w:tcPr>
          <w:p>
            <w:pPr>
              <w:pStyle w:val="9"/>
            </w:pPr>
            <w:r>
              <w:t>≤31万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第三方机构完成评价报告数量</w:t>
            </w:r>
          </w:p>
        </w:tc>
        <w:tc>
          <w:tcPr>
            <w:tcW w:w="3430" w:type="dxa"/>
            <w:vAlign w:val="center"/>
          </w:tcPr>
          <w:p>
            <w:pPr>
              <w:pStyle w:val="9"/>
            </w:pPr>
            <w:r>
              <w:t>聘请第三方机构完成绩效评价工作出具报告的数量</w:t>
            </w:r>
          </w:p>
        </w:tc>
        <w:tc>
          <w:tcPr>
            <w:tcW w:w="2551" w:type="dxa"/>
            <w:vAlign w:val="center"/>
          </w:tcPr>
          <w:p>
            <w:pPr>
              <w:pStyle w:val="9"/>
            </w:pPr>
            <w:r>
              <w:t>≥16个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第三方评价报告达标率</w:t>
            </w:r>
          </w:p>
        </w:tc>
        <w:tc>
          <w:tcPr>
            <w:tcW w:w="3430" w:type="dxa"/>
            <w:vAlign w:val="center"/>
          </w:tcPr>
          <w:p>
            <w:pPr>
              <w:pStyle w:val="9"/>
            </w:pPr>
            <w:r>
              <w:t>聘请第三方机构完成绩效评价工作出具的报告符合标准的比率</w:t>
            </w:r>
          </w:p>
        </w:tc>
        <w:tc>
          <w:tcPr>
            <w:tcW w:w="2551" w:type="dxa"/>
            <w:vAlign w:val="center"/>
          </w:tcPr>
          <w:p>
            <w:pPr>
              <w:pStyle w:val="9"/>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支付合同尾款及时率</w:t>
            </w:r>
          </w:p>
        </w:tc>
        <w:tc>
          <w:tcPr>
            <w:tcW w:w="3430" w:type="dxa"/>
            <w:vAlign w:val="center"/>
          </w:tcPr>
          <w:p>
            <w:pPr>
              <w:pStyle w:val="9"/>
            </w:pPr>
            <w:r>
              <w:t>对报告进行验收，合格后依据合同2个月内拨付尾款</w:t>
            </w:r>
          </w:p>
        </w:tc>
        <w:tc>
          <w:tcPr>
            <w:tcW w:w="2551" w:type="dxa"/>
            <w:vAlign w:val="center"/>
          </w:tcPr>
          <w:p>
            <w:pPr>
              <w:pStyle w:val="9"/>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完成合同尾款拨付</w:t>
            </w:r>
          </w:p>
        </w:tc>
        <w:tc>
          <w:tcPr>
            <w:tcW w:w="3430" w:type="dxa"/>
            <w:vAlign w:val="center"/>
          </w:tcPr>
          <w:p>
            <w:pPr>
              <w:pStyle w:val="9"/>
            </w:pPr>
            <w:r>
              <w:t>根据合同约定，验收合格后2个月内支付</w:t>
            </w:r>
          </w:p>
        </w:tc>
        <w:tc>
          <w:tcPr>
            <w:tcW w:w="2551" w:type="dxa"/>
            <w:vAlign w:val="center"/>
          </w:tcPr>
          <w:p>
            <w:pPr>
              <w:pStyle w:val="9"/>
            </w:pPr>
            <w:r>
              <w:t>≤54万元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市级重点项目财政绩效评价项目数量</w:t>
            </w:r>
          </w:p>
        </w:tc>
        <w:tc>
          <w:tcPr>
            <w:tcW w:w="3430" w:type="dxa"/>
            <w:vAlign w:val="center"/>
          </w:tcPr>
          <w:p>
            <w:pPr>
              <w:pStyle w:val="9"/>
            </w:pPr>
            <w:r>
              <w:t>根据2025年绩效评价通知，需要完成市级重点项目财政绩效评价项目的数量</w:t>
            </w:r>
          </w:p>
        </w:tc>
        <w:tc>
          <w:tcPr>
            <w:tcW w:w="2551" w:type="dxa"/>
            <w:vAlign w:val="center"/>
          </w:tcPr>
          <w:p>
            <w:pPr>
              <w:pStyle w:val="9"/>
            </w:pPr>
            <w:r>
              <w:t>≥16个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第三方机构现场评价工作达标率</w:t>
            </w:r>
          </w:p>
        </w:tc>
        <w:tc>
          <w:tcPr>
            <w:tcW w:w="3430" w:type="dxa"/>
            <w:vAlign w:val="center"/>
          </w:tcPr>
          <w:p>
            <w:pPr>
              <w:pStyle w:val="9"/>
            </w:pPr>
            <w:r>
              <w:t>第三方机构项目现场绩效评价工作达到合同约定要求的比率</w:t>
            </w:r>
          </w:p>
        </w:tc>
        <w:tc>
          <w:tcPr>
            <w:tcW w:w="2551" w:type="dxa"/>
            <w:vAlign w:val="center"/>
          </w:tcPr>
          <w:p>
            <w:pPr>
              <w:pStyle w:val="9"/>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全部现场评价完成及时率</w:t>
            </w:r>
          </w:p>
        </w:tc>
        <w:tc>
          <w:tcPr>
            <w:tcW w:w="3430" w:type="dxa"/>
            <w:vAlign w:val="center"/>
          </w:tcPr>
          <w:p>
            <w:pPr>
              <w:pStyle w:val="9"/>
            </w:pPr>
            <w:r>
              <w:t>第三方机构现场评价工作完成及时率</w:t>
            </w:r>
          </w:p>
        </w:tc>
        <w:tc>
          <w:tcPr>
            <w:tcW w:w="2551" w:type="dxa"/>
            <w:vAlign w:val="center"/>
          </w:tcPr>
          <w:p>
            <w:pPr>
              <w:pStyle w:val="9"/>
            </w:pPr>
            <w:r>
              <w:t>≥98百分比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2025年市级重点项目成本</w:t>
            </w:r>
          </w:p>
        </w:tc>
        <w:tc>
          <w:tcPr>
            <w:tcW w:w="3430" w:type="dxa"/>
            <w:vAlign w:val="center"/>
          </w:tcPr>
          <w:p>
            <w:pPr>
              <w:pStyle w:val="9"/>
            </w:pPr>
            <w:r>
              <w:t>2025年市级重点项目财政绩效评价项目费用</w:t>
            </w:r>
          </w:p>
        </w:tc>
        <w:tc>
          <w:tcPr>
            <w:tcW w:w="2551" w:type="dxa"/>
            <w:vAlign w:val="center"/>
          </w:tcPr>
          <w:p>
            <w:pPr>
              <w:pStyle w:val="9"/>
            </w:pPr>
            <w:r>
              <w:t>≤94万元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效益指标</w:t>
            </w:r>
          </w:p>
        </w:tc>
        <w:tc>
          <w:tcPr>
            <w:tcW w:w="1276" w:type="dxa"/>
            <w:vAlign w:val="center"/>
          </w:tcPr>
          <w:p>
            <w:pPr>
              <w:pStyle w:val="9"/>
            </w:pPr>
            <w:r>
              <w:t>社会效益指标</w:t>
            </w:r>
          </w:p>
        </w:tc>
        <w:tc>
          <w:tcPr>
            <w:tcW w:w="1332" w:type="dxa"/>
            <w:vAlign w:val="center"/>
          </w:tcPr>
          <w:p>
            <w:pPr>
              <w:pStyle w:val="9"/>
            </w:pPr>
            <w:r>
              <w:t>覆盖国民经济行业分类数量</w:t>
            </w:r>
          </w:p>
        </w:tc>
        <w:tc>
          <w:tcPr>
            <w:tcW w:w="3430" w:type="dxa"/>
            <w:vAlign w:val="center"/>
          </w:tcPr>
          <w:p>
            <w:pPr>
              <w:pStyle w:val="9"/>
            </w:pPr>
            <w:r>
              <w:t>评价项目覆盖国民经济行业分类数量</w:t>
            </w:r>
          </w:p>
        </w:tc>
        <w:tc>
          <w:tcPr>
            <w:tcW w:w="2551" w:type="dxa"/>
            <w:vAlign w:val="center"/>
          </w:tcPr>
          <w:p>
            <w:pPr>
              <w:pStyle w:val="9"/>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满意度指标</w:t>
            </w:r>
          </w:p>
        </w:tc>
        <w:tc>
          <w:tcPr>
            <w:tcW w:w="1276" w:type="dxa"/>
            <w:vAlign w:val="center"/>
          </w:tcPr>
          <w:p>
            <w:pPr>
              <w:pStyle w:val="9"/>
            </w:pPr>
            <w:r>
              <w:t>服务对象满意度指标</w:t>
            </w:r>
          </w:p>
        </w:tc>
        <w:tc>
          <w:tcPr>
            <w:tcW w:w="1332" w:type="dxa"/>
            <w:vAlign w:val="center"/>
          </w:tcPr>
          <w:p>
            <w:pPr>
              <w:pStyle w:val="9"/>
            </w:pPr>
            <w:r>
              <w:t>被评价单位对评价工作满意度</w:t>
            </w:r>
          </w:p>
        </w:tc>
        <w:tc>
          <w:tcPr>
            <w:tcW w:w="3430" w:type="dxa"/>
            <w:vAlign w:val="center"/>
          </w:tcPr>
          <w:p>
            <w:pPr>
              <w:pStyle w:val="9"/>
            </w:pPr>
            <w:r>
              <w:t>被评价单位对评价工作整体满意度</w:t>
            </w:r>
          </w:p>
        </w:tc>
        <w:tc>
          <w:tcPr>
            <w:tcW w:w="2551" w:type="dxa"/>
            <w:vAlign w:val="center"/>
          </w:tcPr>
          <w:p>
            <w:pPr>
              <w:pStyle w:val="9"/>
            </w:pPr>
            <w:r>
              <w:t>≥80百分比</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2359A6"/>
    <w:rsid w:val="237F6FEB"/>
    <w:rsid w:val="32A17B1D"/>
    <w:rsid w:val="3C0F57DA"/>
    <w:rsid w:val="67235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单元格样式5"/>
    <w:basedOn w:val="1"/>
    <w:qFormat/>
    <w:uiPriority w:val="0"/>
    <w:rPr>
      <w:rFonts w:ascii="方正书宋_GBK" w:hAnsi="方正书宋_GBK" w:eastAsia="方正书宋_GBK" w:cs="方正书宋_GBK"/>
      <w:b/>
      <w:sz w:val="21"/>
    </w:rPr>
  </w:style>
  <w:style w:type="paragraph" w:customStyle="1" w:styleId="7">
    <w:name w:val="单元格样式4"/>
    <w:basedOn w:val="1"/>
    <w:qFormat/>
    <w:uiPriority w:val="0"/>
    <w:pPr>
      <w:jc w:val="right"/>
    </w:pPr>
    <w:rPr>
      <w:rFonts w:ascii="方正书宋_GBK" w:hAnsi="方正书宋_GBK" w:eastAsia="方正书宋_GBK" w:cs="方正书宋_GBK"/>
      <w:sz w:val="21"/>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2"/>
    <w:basedOn w:val="1"/>
    <w:qFormat/>
    <w:uiPriority w:val="0"/>
    <w:rPr>
      <w:rFonts w:ascii="方正书宋_GBK" w:hAnsi="方正书宋_GBK" w:eastAsia="方正书宋_GBK" w:cs="方正书宋_GBK"/>
      <w:sz w:val="21"/>
    </w:rPr>
  </w:style>
  <w:style w:type="paragraph" w:customStyle="1" w:styleId="10">
    <w:name w:val="单元格样式3"/>
    <w:basedOn w:val="1"/>
    <w:qFormat/>
    <w:uiPriority w:val="0"/>
    <w:pPr>
      <w:jc w:val="center"/>
    </w:pPr>
    <w:rPr>
      <w:rFonts w:ascii="方正书宋_GBK" w:hAnsi="方正书宋_GBK" w:eastAsia="方正书宋_GBK" w:cs="方正书宋_GBK"/>
      <w:sz w:val="21"/>
    </w:rPr>
  </w:style>
  <w:style w:type="paragraph" w:customStyle="1" w:styleId="11">
    <w:name w:val="目录 11"/>
    <w:basedOn w:val="1"/>
    <w:qFormat/>
    <w:uiPriority w:val="0"/>
    <w:pPr>
      <w:spacing w:before="120"/>
    </w:pPr>
    <w:rPr>
      <w:rFonts w:eastAsia="方正仿宋_GBK"/>
      <w:color w:val="000000"/>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2025-02-17T03:01:00Z</dcterms:created>
  <dc:creator>408</dc:creator>
  <cp:lastModifiedBy>408</cp:lastModifiedBy>
  <dcterms:modified xsi:type="dcterms:W3CDTF">2025-03-05T03:01:09Z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